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04A3B" w:rsidRPr="00DA15B7">
        <w:rPr>
          <w:rFonts w:eastAsia="Arial Unicode MS"/>
          <w:noProof/>
          <w:color w:val="000000"/>
          <w:sz w:val="22"/>
          <w:szCs w:val="22"/>
          <w:lang w:val="en-AU"/>
        </w:rPr>
        <w:t>225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904A3B"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904A3B"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904A3B"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904A3B"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04A3B" w:rsidRPr="00DA15B7">
        <w:rPr>
          <w:noProof/>
          <w:color w:val="000000"/>
          <w:sz w:val="20"/>
          <w:szCs w:val="20"/>
          <w:lang w:val="en-AU"/>
        </w:rPr>
        <w:t>yuli rahmawati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04A3B" w:rsidRPr="00DA15B7">
        <w:rPr>
          <w:noProof/>
          <w:color w:val="000000"/>
          <w:sz w:val="20"/>
          <w:szCs w:val="20"/>
          <w:lang w:val="en-AU"/>
        </w:rPr>
        <w:t>43213120185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904A3B"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904A3B" w:rsidRPr="00DA15B7">
        <w:rPr>
          <w:noProof/>
          <w:color w:val="000000"/>
          <w:sz w:val="20"/>
          <w:szCs w:val="20"/>
          <w:lang w:val="en-AU"/>
        </w:rPr>
        <w:t>analisis kebijakan alokasi aset, pemilihan saham dan tingkat resiko terhadap reksadana saham di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04A3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0361-A9B3-482D-B5DE-B07022FC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2018-04-10T08:08:00Z</cp:lastPrinted>
  <dcterms:created xsi:type="dcterms:W3CDTF">2018-04-10T08:09:00Z</dcterms:created>
  <dcterms:modified xsi:type="dcterms:W3CDTF">2018-04-10T08:09:00Z</dcterms:modified>
</cp:coreProperties>
</file>