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533A1" w:rsidRPr="00DA15B7">
        <w:rPr>
          <w:rFonts w:eastAsia="Arial Unicode MS"/>
          <w:noProof/>
          <w:color w:val="000000"/>
          <w:sz w:val="22"/>
          <w:szCs w:val="22"/>
          <w:lang w:val="en-AU"/>
        </w:rPr>
        <w:t>214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D533A1"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D533A1"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D533A1"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D533A1"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533A1" w:rsidRPr="00DA15B7">
        <w:rPr>
          <w:noProof/>
          <w:color w:val="000000"/>
          <w:sz w:val="20"/>
          <w:szCs w:val="20"/>
          <w:lang w:val="en-AU"/>
        </w:rPr>
        <w:t>Widyananda Anggraini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533A1" w:rsidRPr="00DA15B7">
        <w:rPr>
          <w:noProof/>
          <w:color w:val="000000"/>
          <w:sz w:val="20"/>
          <w:szCs w:val="20"/>
          <w:lang w:val="en-AU"/>
        </w:rPr>
        <w:t>43215110545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D533A1"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D533A1"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D533A1" w:rsidRPr="00DA15B7">
        <w:rPr>
          <w:noProof/>
          <w:color w:val="000000"/>
          <w:sz w:val="20"/>
          <w:szCs w:val="20"/>
          <w:lang w:val="en-AU"/>
        </w:rPr>
        <w:t>Pengaruh Arus Kas Operasi, Size, dan ROE, terhadap Return Saham pada Perusahaan Sektor Manufaktur Sub Sektor Konstruksi dan Bangunan Periode 2013-2015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533A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1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77572"/>
    <w:rsid w:val="0028588A"/>
    <w:rsid w:val="00296950"/>
    <w:rsid w:val="002A14E3"/>
    <w:rsid w:val="002A2EE1"/>
    <w:rsid w:val="002A45C2"/>
    <w:rsid w:val="002A5F31"/>
    <w:rsid w:val="002B07D0"/>
    <w:rsid w:val="002B0B64"/>
    <w:rsid w:val="002B3545"/>
    <w:rsid w:val="002D1A2B"/>
    <w:rsid w:val="002D31FA"/>
    <w:rsid w:val="002D682D"/>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554E-551C-4E3D-BC0F-C7FD15FC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2018-04-10T07:59:00Z</cp:lastPrinted>
  <dcterms:created xsi:type="dcterms:W3CDTF">2018-04-10T08:00:00Z</dcterms:created>
  <dcterms:modified xsi:type="dcterms:W3CDTF">2018-04-10T08:00:00Z</dcterms:modified>
</cp:coreProperties>
</file>