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11FDF" w:rsidRPr="00DA15B7">
        <w:rPr>
          <w:rFonts w:eastAsia="Arial Unicode MS"/>
          <w:noProof/>
          <w:color w:val="000000"/>
          <w:sz w:val="22"/>
          <w:szCs w:val="22"/>
          <w:lang w:val="en-AU"/>
        </w:rPr>
        <w:t>120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011FDF"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011FDF"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011FDF"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011FDF"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11FDF" w:rsidRPr="00DA15B7">
        <w:rPr>
          <w:noProof/>
          <w:color w:val="000000"/>
          <w:sz w:val="20"/>
          <w:szCs w:val="20"/>
          <w:lang w:val="en-AU"/>
        </w:rPr>
        <w:t>Weny Dini Afini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11FDF" w:rsidRPr="00DA15B7">
        <w:rPr>
          <w:noProof/>
          <w:color w:val="000000"/>
          <w:sz w:val="20"/>
          <w:szCs w:val="20"/>
          <w:lang w:val="en-AU"/>
        </w:rPr>
        <w:t>43216110528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011FD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011FDF"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011FDF" w:rsidRPr="00DA15B7">
        <w:rPr>
          <w:noProof/>
          <w:color w:val="000000"/>
          <w:sz w:val="20"/>
          <w:szCs w:val="20"/>
          <w:lang w:val="en-AU"/>
        </w:rPr>
        <w:t>PERBEDAAN LIKUIDITAS, UKURAN PERUSAHAAN DAN PERTUMBUHAN PERUSAHAAN MELALUI STOCK SPLIT SAHAM (PERUSAHAAN YANG TERDAPAT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11FD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A498C"/>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FD52-E16A-48D5-A8E8-DADF7B16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2018-04-10T04:29:00Z</cp:lastPrinted>
  <dcterms:created xsi:type="dcterms:W3CDTF">2018-04-10T04:30:00Z</dcterms:created>
  <dcterms:modified xsi:type="dcterms:W3CDTF">2018-04-10T04:30:00Z</dcterms:modified>
</cp:coreProperties>
</file>