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62831" w:rsidRPr="00DA15B7">
        <w:rPr>
          <w:rFonts w:eastAsia="Arial Unicode MS"/>
          <w:noProof/>
          <w:color w:val="000000"/>
          <w:sz w:val="22"/>
          <w:szCs w:val="22"/>
          <w:lang w:val="en-AU"/>
        </w:rPr>
        <w:t>161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E62831"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E62831"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E62831"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E62831"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62831" w:rsidRPr="00DA15B7">
        <w:rPr>
          <w:noProof/>
          <w:color w:val="000000"/>
          <w:sz w:val="20"/>
          <w:szCs w:val="20"/>
          <w:lang w:val="en-AU"/>
        </w:rPr>
        <w:t>Vina Agriani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62831" w:rsidRPr="00DA15B7">
        <w:rPr>
          <w:noProof/>
          <w:color w:val="000000"/>
          <w:sz w:val="20"/>
          <w:szCs w:val="20"/>
          <w:lang w:val="en-AU"/>
        </w:rPr>
        <w:t>43216110288.999992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E62831"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E62831"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E62831" w:rsidRPr="00DA15B7">
        <w:rPr>
          <w:noProof/>
          <w:color w:val="000000"/>
          <w:sz w:val="20"/>
          <w:szCs w:val="20"/>
          <w:lang w:val="en-AU"/>
        </w:rPr>
        <w:t>Perlakuan Pajak Penghasilan Atas Penghasilan Dari Usaha Jasa Konstruksi Yang Tidak Memiliki Sertifikasi Usaha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6283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6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62831"/>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BCCA-BCD2-41BE-A34D-8260CE08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2018-04-10T06:56:00Z</cp:lastPrinted>
  <dcterms:created xsi:type="dcterms:W3CDTF">2018-04-10T06:57:00Z</dcterms:created>
  <dcterms:modified xsi:type="dcterms:W3CDTF">2018-04-10T06:57:00Z</dcterms:modified>
</cp:coreProperties>
</file>