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F0BC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7F0BC3" w:rsidRPr="005779C7">
        <w:rPr>
          <w:rFonts w:ascii="Times New Roman" w:eastAsia="Times New Roman" w:hAnsi="Times New Roman"/>
          <w:iCs/>
          <w:noProof/>
          <w:lang w:val="en-US" w:eastAsia="id-ID"/>
        </w:rPr>
        <w:t>Suri Mahrani</w:t>
      </w:r>
      <w:bookmarkEnd w:id="0"/>
      <w:r w:rsidR="007F0BC3" w:rsidRPr="005779C7">
        <w:rPr>
          <w:rFonts w:ascii="Times New Roman" w:eastAsia="Times New Roman" w:hAnsi="Times New Roman"/>
          <w:iCs/>
          <w:noProof/>
          <w:lang w:val="en-US" w:eastAsia="id-ID"/>
        </w:rPr>
        <w:t>, S.Sos,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7F0BC3" w:rsidRPr="005779C7">
        <w:rPr>
          <w:rFonts w:ascii="Times New Roman" w:eastAsia="Times New Roman" w:hAnsi="Times New Roman"/>
          <w:iCs/>
          <w:noProof/>
          <w:lang w:val="en-US" w:eastAsia="id-ID"/>
        </w:rPr>
        <w:t>0312067206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7F0BC3" w:rsidRPr="005779C7">
        <w:rPr>
          <w:rFonts w:ascii="Times New Roman" w:eastAsia="Times New Roman" w:hAnsi="Times New Roman"/>
          <w:iCs/>
          <w:noProof/>
          <w:lang w:eastAsia="id-ID"/>
        </w:rPr>
        <w:t>197580562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F0BC3" w:rsidRPr="005779C7">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F0BC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B11326BA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M-601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31125">
              <w:rPr>
                <w:rFonts w:ascii="Times New Roman" w:eastAsia="Times New Roman" w:hAnsi="Times New Roman"/>
                <w:lang w:val="en-US" w:eastAsia="id-ID"/>
              </w:rPr>
              <w:fldChar w:fldCharType="separate"/>
            </w:r>
            <w:r w:rsidR="007F0BC3" w:rsidRPr="005779C7">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31125">
              <w:rPr>
                <w:rFonts w:ascii="Times New Roman" w:eastAsia="Times New Roman" w:hAnsi="Times New Roman"/>
                <w:lang w:val="en-US" w:eastAsia="id-ID"/>
              </w:rPr>
              <w:fldChar w:fldCharType="separate"/>
            </w:r>
            <w:r w:rsidR="007F0BC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31125">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B11326FA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31125">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31125">
              <w:rPr>
                <w:rFonts w:ascii="Times New Roman" w:eastAsia="Times New Roman" w:hAnsi="Times New Roman"/>
                <w:lang w:val="en-US" w:eastAsia="id-ID"/>
              </w:rPr>
              <w:fldChar w:fldCharType="separate"/>
            </w:r>
            <w:r w:rsidR="007F0BC3" w:rsidRPr="005779C7">
              <w:rPr>
                <w:rFonts w:ascii="Times New Roman" w:eastAsia="Times New Roman" w:hAnsi="Times New Roman"/>
                <w:noProof/>
                <w:lang w:val="en-US" w:eastAsia="id-ID"/>
              </w:rPr>
              <w:t>M-603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A31125">
              <w:rPr>
                <w:rFonts w:ascii="Times New Roman" w:eastAsia="Times New Roman" w:hAnsi="Times New Roman"/>
                <w:lang w:eastAsia="id-ID"/>
              </w:rPr>
              <w:fldChar w:fldCharType="separate"/>
            </w:r>
            <w:r w:rsidR="007F0BC3" w:rsidRPr="005779C7">
              <w:rPr>
                <w:rFonts w:ascii="Times New Roman" w:eastAsia="Times New Roman" w:hAnsi="Times New Roman"/>
                <w:noProof/>
                <w:lang w:eastAsia="id-ID"/>
              </w:rPr>
              <w:t>31</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4A64-FB83-4E4F-B361-978AF639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2018-04-05T02:39:00Z</cp:lastPrinted>
  <dcterms:created xsi:type="dcterms:W3CDTF">2018-04-05T02:40:00Z</dcterms:created>
  <dcterms:modified xsi:type="dcterms:W3CDTF">2018-04-05T02:40:00Z</dcterms:modified>
</cp:coreProperties>
</file>