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86988" w:rsidRPr="00DA15B7">
        <w:rPr>
          <w:rFonts w:eastAsia="Arial Unicode MS"/>
          <w:noProof/>
          <w:color w:val="000000"/>
          <w:sz w:val="22"/>
          <w:szCs w:val="22"/>
          <w:lang w:val="en-AU"/>
        </w:rPr>
        <w:t>87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F86988"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F86988"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F86988"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F86988"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86988" w:rsidRPr="00DA15B7">
        <w:rPr>
          <w:noProof/>
          <w:color w:val="000000"/>
          <w:sz w:val="20"/>
          <w:szCs w:val="20"/>
          <w:lang w:val="en-AU"/>
        </w:rPr>
        <w:t>Sugeng</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86988" w:rsidRPr="00DA15B7">
        <w:rPr>
          <w:noProof/>
          <w:color w:val="000000"/>
          <w:sz w:val="20"/>
          <w:szCs w:val="20"/>
          <w:lang w:val="en-AU"/>
        </w:rPr>
        <w:t>43213120173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F86988"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F86988"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F86988" w:rsidRPr="00DA15B7">
        <w:rPr>
          <w:noProof/>
          <w:color w:val="000000"/>
          <w:sz w:val="20"/>
          <w:szCs w:val="20"/>
          <w:lang w:val="en-AU"/>
        </w:rPr>
        <w:t>pengaruh net profit margin, ROA dan ROE terhadap harga saham perusahaan manufaktur yang tercatat dalam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B370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8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B3704"/>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053D7"/>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3753-488C-4DAF-8464-2A5C5E32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2018-04-10T03:49:00Z</cp:lastPrinted>
  <dcterms:created xsi:type="dcterms:W3CDTF">2018-04-10T03:50:00Z</dcterms:created>
  <dcterms:modified xsi:type="dcterms:W3CDTF">2018-04-10T03:50:00Z</dcterms:modified>
</cp:coreProperties>
</file>