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F2FCD" w:rsidRPr="00DA15B7">
        <w:rPr>
          <w:rFonts w:eastAsia="Arial Unicode MS"/>
          <w:noProof/>
          <w:color w:val="000000"/>
          <w:sz w:val="22"/>
          <w:szCs w:val="22"/>
          <w:lang w:val="en-AU"/>
        </w:rPr>
        <w:t>243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AF2FCD" w:rsidRPr="00DA15B7">
        <w:rPr>
          <w:b/>
          <w:noProof/>
          <w:color w:val="000000"/>
          <w:sz w:val="20"/>
          <w:szCs w:val="20"/>
          <w:lang w:val="en-US"/>
        </w:rPr>
        <w:t>Lusia Sri Arini, S.Pd.,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AF2FCD" w:rsidRPr="00DA15B7">
        <w:rPr>
          <w:b/>
          <w:noProof/>
          <w:color w:val="000000"/>
          <w:sz w:val="20"/>
          <w:szCs w:val="20"/>
          <w:lang w:val="en-US"/>
        </w:rPr>
        <w:t>0312047204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AF2FCD" w:rsidRPr="00DA15B7">
        <w:rPr>
          <w:b/>
          <w:noProof/>
          <w:color w:val="000000"/>
          <w:sz w:val="20"/>
          <w:szCs w:val="20"/>
          <w:lang w:val="en-US"/>
        </w:rPr>
        <w:t>609720101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AF2FCD"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F2FCD" w:rsidRPr="00DA15B7">
        <w:rPr>
          <w:noProof/>
          <w:color w:val="000000"/>
          <w:sz w:val="20"/>
          <w:szCs w:val="20"/>
          <w:lang w:val="en-AU"/>
        </w:rPr>
        <w:t>Siti Hutami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F2FCD" w:rsidRPr="00DA15B7">
        <w:rPr>
          <w:noProof/>
          <w:color w:val="000000"/>
          <w:sz w:val="20"/>
          <w:szCs w:val="20"/>
          <w:lang w:val="en-AU"/>
        </w:rPr>
        <w:t>43213120081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AF2FCD"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AF2FCD" w:rsidRPr="00DA15B7">
        <w:rPr>
          <w:rFonts w:ascii="Verdana" w:hAnsi="Verdana"/>
          <w:noProof/>
          <w:color w:val="222222"/>
          <w:sz w:val="18"/>
          <w:szCs w:val="18"/>
          <w:shd w:val="clear" w:color="auto" w:fill="FFFFFF"/>
          <w:lang w:val="en-US"/>
        </w:rPr>
        <w:t>08561648312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AF2FCD" w:rsidRPr="00DA15B7">
        <w:rPr>
          <w:noProof/>
          <w:color w:val="000000"/>
          <w:sz w:val="20"/>
          <w:szCs w:val="20"/>
          <w:lang w:val="en-AU"/>
        </w:rPr>
        <w:t>Kemanfaatan Kepemilikan NPWP, pemotongan pajak, perancangan gaji karyawan terhadap PPh Pasal 21 Orang Pribadi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F2FC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4381"/>
    <w:rsid w:val="00095EDC"/>
    <w:rsid w:val="00097994"/>
    <w:rsid w:val="000A0A6A"/>
    <w:rsid w:val="000A1F3E"/>
    <w:rsid w:val="000A4387"/>
    <w:rsid w:val="000A673A"/>
    <w:rsid w:val="000B0AA4"/>
    <w:rsid w:val="000B14DD"/>
    <w:rsid w:val="000B2745"/>
    <w:rsid w:val="000C5E63"/>
    <w:rsid w:val="000C7234"/>
    <w:rsid w:val="000D17A8"/>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5F70-C7A5-4DAE-B5FE-8330F314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2018-04-10T08:22:00Z</cp:lastPrinted>
  <dcterms:created xsi:type="dcterms:W3CDTF">2018-04-10T08:23:00Z</dcterms:created>
  <dcterms:modified xsi:type="dcterms:W3CDTF">2018-04-10T08:23:00Z</dcterms:modified>
</cp:coreProperties>
</file>