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53540" w:rsidRPr="00DA15B7">
        <w:rPr>
          <w:rFonts w:eastAsia="Arial Unicode MS"/>
          <w:noProof/>
          <w:color w:val="000000"/>
          <w:sz w:val="22"/>
          <w:szCs w:val="22"/>
          <w:lang w:val="en-AU"/>
        </w:rPr>
        <w:t>195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153540" w:rsidRPr="00DA15B7">
        <w:rPr>
          <w:b/>
          <w:noProof/>
          <w:color w:val="000000"/>
          <w:sz w:val="20"/>
          <w:szCs w:val="20"/>
          <w:lang w:val="en-US"/>
        </w:rPr>
        <w:t>Elok Kurniawati,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153540" w:rsidRPr="00DA15B7">
        <w:rPr>
          <w:b/>
          <w:noProof/>
          <w:color w:val="000000"/>
          <w:sz w:val="20"/>
          <w:szCs w:val="20"/>
          <w:lang w:val="en-US"/>
        </w:rPr>
        <w:t>0315108104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153540" w:rsidRPr="00DA15B7">
        <w:rPr>
          <w:b/>
          <w:noProof/>
          <w:color w:val="000000"/>
          <w:sz w:val="20"/>
          <w:szCs w:val="20"/>
          <w:lang w:val="en-US"/>
        </w:rPr>
        <w:t>614810503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153540"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53540" w:rsidRPr="00DA15B7">
        <w:rPr>
          <w:noProof/>
          <w:color w:val="000000"/>
          <w:sz w:val="20"/>
          <w:szCs w:val="20"/>
          <w:lang w:val="en-AU"/>
        </w:rPr>
        <w:t>Sarah Annisa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53540" w:rsidRPr="00DA15B7">
        <w:rPr>
          <w:noProof/>
          <w:color w:val="000000"/>
          <w:sz w:val="20"/>
          <w:szCs w:val="20"/>
          <w:lang w:val="en-AU"/>
        </w:rPr>
        <w:t>43216110512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153540"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153540" w:rsidRPr="00DA15B7">
        <w:rPr>
          <w:rFonts w:ascii="Verdana" w:hAnsi="Verdana"/>
          <w:noProof/>
          <w:color w:val="222222"/>
          <w:sz w:val="18"/>
          <w:szCs w:val="18"/>
          <w:shd w:val="clear" w:color="auto" w:fill="FFFFFF"/>
          <w:lang w:val="en-US"/>
        </w:rPr>
        <w:t>081231519934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153540" w:rsidRPr="00DA15B7">
        <w:rPr>
          <w:noProof/>
          <w:color w:val="000000"/>
          <w:sz w:val="20"/>
          <w:szCs w:val="20"/>
          <w:lang w:val="en-AU"/>
        </w:rPr>
        <w:t>Analisis Bank Size (LNTA), Gearing Ratio (GR), Non-Performing Loans Ratio (NPLs ratio), Asset Management (AM), Operating Efficiency (OE) dan Capital Adequacy (CA) terhadap Return on Assets (ROA) dan Return on Equities (ROE) pada probabilitas Bank Persero</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5354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9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3540"/>
    <w:rsid w:val="0015688D"/>
    <w:rsid w:val="00165928"/>
    <w:rsid w:val="001659DC"/>
    <w:rsid w:val="0016663C"/>
    <w:rsid w:val="001712D8"/>
    <w:rsid w:val="00171591"/>
    <w:rsid w:val="00182D2C"/>
    <w:rsid w:val="00184811"/>
    <w:rsid w:val="00192C44"/>
    <w:rsid w:val="001934EB"/>
    <w:rsid w:val="0019383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222B-B292-44E6-BB6B-2DE0D8BC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2018-04-10T07:24:00Z</cp:lastPrinted>
  <dcterms:created xsi:type="dcterms:W3CDTF">2018-04-10T07:24:00Z</dcterms:created>
  <dcterms:modified xsi:type="dcterms:W3CDTF">2018-04-10T07:24:00Z</dcterms:modified>
</cp:coreProperties>
</file>