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9279F" w:rsidRPr="00DA15B7">
        <w:rPr>
          <w:rFonts w:eastAsia="Arial Unicode MS"/>
          <w:noProof/>
          <w:color w:val="000000"/>
          <w:sz w:val="22"/>
          <w:szCs w:val="22"/>
          <w:lang w:val="en-AU"/>
        </w:rPr>
        <w:t>193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69279F"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69279F"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69279F"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69279F"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9279F" w:rsidRPr="00DA15B7">
        <w:rPr>
          <w:noProof/>
          <w:color w:val="000000"/>
          <w:sz w:val="20"/>
          <w:szCs w:val="20"/>
          <w:lang w:val="en-AU"/>
        </w:rPr>
        <w:t>Rudy</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9279F" w:rsidRPr="00DA15B7">
        <w:rPr>
          <w:noProof/>
          <w:color w:val="000000"/>
          <w:sz w:val="20"/>
          <w:szCs w:val="20"/>
          <w:lang w:val="en-AU"/>
        </w:rPr>
        <w:t>43213120417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69279F"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69279F"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69279F" w:rsidRPr="00DA15B7">
        <w:rPr>
          <w:noProof/>
          <w:color w:val="000000"/>
          <w:sz w:val="20"/>
          <w:szCs w:val="20"/>
          <w:lang w:val="en-AU"/>
        </w:rPr>
        <w:t>analisa pengaruh expense rasio, turnover ratio dan cash flow terhadap kinerja reksa dana saham</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9279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59DC"/>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A1213"/>
    <w:rsid w:val="005A7E87"/>
    <w:rsid w:val="005B4526"/>
    <w:rsid w:val="005E16B4"/>
    <w:rsid w:val="005E5126"/>
    <w:rsid w:val="005E5332"/>
    <w:rsid w:val="005E7AF4"/>
    <w:rsid w:val="005F0AEF"/>
    <w:rsid w:val="005F514B"/>
    <w:rsid w:val="005F51D1"/>
    <w:rsid w:val="00600093"/>
    <w:rsid w:val="006020E6"/>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0AFC-597A-413F-939E-346AA12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2018-04-10T07:23:00Z</cp:lastPrinted>
  <dcterms:created xsi:type="dcterms:W3CDTF">2018-04-10T07:23:00Z</dcterms:created>
  <dcterms:modified xsi:type="dcterms:W3CDTF">2018-04-10T07:23:00Z</dcterms:modified>
</cp:coreProperties>
</file>