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13712" w:rsidRPr="00D05121">
        <w:rPr>
          <w:rFonts w:eastAsia="Arial Unicode MS"/>
          <w:noProof/>
          <w:color w:val="000000"/>
          <w:sz w:val="22"/>
          <w:szCs w:val="22"/>
          <w:lang w:val="en-AU"/>
        </w:rPr>
        <w:t>290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E13712"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E13712"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E13712"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E13712"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E13712"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E13712"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13712" w:rsidRPr="00D05121">
        <w:rPr>
          <w:noProof/>
          <w:color w:val="000000"/>
          <w:sz w:val="20"/>
          <w:szCs w:val="20"/>
          <w:lang w:val="en-AU"/>
        </w:rPr>
        <w:t>Rosalina Sada Rato</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13712" w:rsidRPr="00D05121">
        <w:rPr>
          <w:noProof/>
          <w:color w:val="000000"/>
          <w:sz w:val="20"/>
          <w:szCs w:val="20"/>
          <w:lang w:val="en-AU"/>
        </w:rPr>
        <w:t>43212120318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E13712"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E13712"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E13712" w:rsidRPr="00D05121">
        <w:rPr>
          <w:noProof/>
          <w:color w:val="000000"/>
          <w:sz w:val="20"/>
          <w:szCs w:val="20"/>
          <w:lang w:val="en-AU"/>
        </w:rPr>
        <w:t>Pengaruh Resiko Litigasi Terhadap Manajemen Laba Dengan Kualitas Audit Sebagai Variabel Moderating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1371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306E-1465-4084-8914-087B005F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2018-04-11T08:24:00Z</cp:lastPrinted>
  <dcterms:created xsi:type="dcterms:W3CDTF">2018-04-11T08:24:00Z</dcterms:created>
  <dcterms:modified xsi:type="dcterms:W3CDTF">2018-04-11T08:24:00Z</dcterms:modified>
</cp:coreProperties>
</file>