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27787" w:rsidRPr="00DA15B7">
        <w:rPr>
          <w:rFonts w:eastAsia="Arial Unicode MS"/>
          <w:noProof/>
          <w:color w:val="000000"/>
          <w:sz w:val="22"/>
          <w:szCs w:val="22"/>
          <w:lang w:val="en-AU"/>
        </w:rPr>
        <w:t>208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27787"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E27787"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E27787"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E2778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27787" w:rsidRPr="00DA15B7">
        <w:rPr>
          <w:noProof/>
          <w:color w:val="000000"/>
          <w:sz w:val="20"/>
          <w:szCs w:val="20"/>
          <w:lang w:val="en-AU"/>
        </w:rPr>
        <w:t>Ronald Efendi Gozali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27787" w:rsidRPr="00DA15B7">
        <w:rPr>
          <w:noProof/>
          <w:color w:val="000000"/>
          <w:sz w:val="20"/>
          <w:szCs w:val="20"/>
          <w:lang w:val="en-AU"/>
        </w:rPr>
        <w:t>43215120304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E27787"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E27787"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27787" w:rsidRPr="00DA15B7">
        <w:rPr>
          <w:noProof/>
          <w:color w:val="000000"/>
          <w:sz w:val="20"/>
          <w:szCs w:val="20"/>
          <w:lang w:val="en-AU"/>
        </w:rPr>
        <w:t>Pengaruh Arus Kas, Laba Bersih Dan Kebijakan Dividen Terhadap Harga Saham Pada Perusahaan Manufaktur Yang Terdaftar di LQ-45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2778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0A8E-4FD8-4A6B-97B1-B4745135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2018-04-10T07:54:00Z</cp:lastPrinted>
  <dcterms:created xsi:type="dcterms:W3CDTF">2018-04-10T07:54:00Z</dcterms:created>
  <dcterms:modified xsi:type="dcterms:W3CDTF">2018-04-10T07:54:00Z</dcterms:modified>
</cp:coreProperties>
</file>