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CE7CC8" w:rsidRPr="00AC436D">
        <w:rPr>
          <w:rFonts w:cs="Aharoni"/>
          <w:noProof/>
        </w:rPr>
        <w:t>2937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CE7CC8" w:rsidRPr="00AC436D">
        <w:rPr>
          <w:rFonts w:ascii="Century Schoolbook" w:hAnsi="Century Schoolbook" w:cs="Aharoni"/>
          <w:noProof/>
          <w:sz w:val="24"/>
          <w:szCs w:val="24"/>
        </w:rPr>
        <w:t>Roikhonatul Wardah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CE7CC8" w:rsidRPr="00AC436D">
        <w:rPr>
          <w:rFonts w:ascii="Century Schoolbook" w:hAnsi="Century Schoolbook" w:cs="Aharoni"/>
          <w:noProof/>
          <w:sz w:val="24"/>
          <w:szCs w:val="24"/>
        </w:rPr>
        <w:t>43214110102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CE7CC8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CE7CC8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CE7CC8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CE7CC8" w:rsidRPr="00AC436D">
        <w:rPr>
          <w:rFonts w:ascii="Century Schoolbook" w:hAnsi="Century Schoolbook" w:cs="Aharoni"/>
          <w:noProof/>
          <w:sz w:val="24"/>
          <w:szCs w:val="24"/>
        </w:rPr>
        <w:t>60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CE7CC8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37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42CB-6569-408C-A11F-13DA5767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2018-04-03T08:08:00Z</dcterms:created>
  <dcterms:modified xsi:type="dcterms:W3CDTF">2018-04-03T08:08:00Z</dcterms:modified>
</cp:coreProperties>
</file>