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610B4" w:rsidRPr="00D05121">
        <w:rPr>
          <w:rFonts w:eastAsia="Arial Unicode MS"/>
          <w:noProof/>
          <w:color w:val="000000"/>
          <w:sz w:val="22"/>
          <w:szCs w:val="22"/>
          <w:lang w:val="en-AU"/>
        </w:rPr>
        <w:t>288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C610B4"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C610B4"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C610B4"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C610B4"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C610B4"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C610B4"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610B4" w:rsidRPr="00D05121">
        <w:rPr>
          <w:noProof/>
          <w:color w:val="000000"/>
          <w:sz w:val="20"/>
          <w:szCs w:val="20"/>
          <w:lang w:val="en-AU"/>
        </w:rPr>
        <w:t>Ria Haddillah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610B4" w:rsidRPr="00D05121">
        <w:rPr>
          <w:noProof/>
          <w:color w:val="000000"/>
          <w:sz w:val="20"/>
          <w:szCs w:val="20"/>
          <w:lang w:val="en-AU"/>
        </w:rPr>
        <w:t>43212120402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C610B4"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C610B4"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C610B4" w:rsidRPr="00D05121">
        <w:rPr>
          <w:noProof/>
          <w:color w:val="000000"/>
          <w:sz w:val="20"/>
          <w:szCs w:val="20"/>
          <w:lang w:val="en-AU"/>
        </w:rPr>
        <w:t>pengaruh manajemen laba riil pada nilai perusahaan dengan good corporate governance sebagai variabel pemoderasi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610B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E495-4488-4BF8-9CD7-E5D4A4DC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2018-04-11T08:22:00Z</cp:lastPrinted>
  <dcterms:created xsi:type="dcterms:W3CDTF">2018-04-11T08:23:00Z</dcterms:created>
  <dcterms:modified xsi:type="dcterms:W3CDTF">2018-04-11T08:23:00Z</dcterms:modified>
</cp:coreProperties>
</file>