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56E7D" w:rsidRPr="00D05121">
        <w:rPr>
          <w:rFonts w:eastAsia="Arial Unicode MS"/>
          <w:noProof/>
          <w:color w:val="000000"/>
          <w:sz w:val="22"/>
          <w:szCs w:val="22"/>
          <w:lang w:val="en-AU"/>
        </w:rPr>
        <w:t>294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556E7D" w:rsidRPr="00D05121">
        <w:rPr>
          <w:b/>
          <w:noProof/>
          <w:color w:val="000000"/>
          <w:sz w:val="20"/>
          <w:szCs w:val="20"/>
          <w:lang w:val="en-US"/>
        </w:rPr>
        <w:t>Nurul Hidayah,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556E7D" w:rsidRPr="00D05121">
        <w:rPr>
          <w:b/>
          <w:noProof/>
          <w:color w:val="000000"/>
          <w:sz w:val="20"/>
          <w:szCs w:val="20"/>
          <w:lang w:val="en-US"/>
        </w:rPr>
        <w:t>0307036901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556E7D" w:rsidRPr="00D05121">
        <w:rPr>
          <w:b/>
          <w:noProof/>
          <w:color w:val="000000"/>
          <w:sz w:val="20"/>
          <w:szCs w:val="20"/>
          <w:lang w:val="en-US"/>
        </w:rPr>
        <w:t>195690168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556E7D"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556E7D" w:rsidRPr="00D05121">
        <w:rPr>
          <w:noProof/>
          <w:color w:val="000000"/>
          <w:sz w:val="20"/>
          <w:szCs w:val="20"/>
          <w:lang w:val="en-US"/>
        </w:rPr>
        <w:t>081932229292/ 08118183900</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556E7D" w:rsidRPr="00D05121">
        <w:rPr>
          <w:b/>
          <w:noProof/>
          <w:color w:val="000000"/>
          <w:sz w:val="20"/>
          <w:szCs w:val="20"/>
          <w:lang w:val="en-US"/>
        </w:rPr>
        <w:t>nurul.hidayah@mercubuana.ac.id/ nurulbadawi@yahoo.com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56E7D" w:rsidRPr="00D05121">
        <w:rPr>
          <w:noProof/>
          <w:color w:val="000000"/>
          <w:sz w:val="20"/>
          <w:szCs w:val="20"/>
          <w:lang w:val="en-AU"/>
        </w:rPr>
        <w:t>Novi Syiti Masitoh</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56E7D" w:rsidRPr="00D05121">
        <w:rPr>
          <w:noProof/>
          <w:color w:val="000000"/>
          <w:sz w:val="20"/>
          <w:szCs w:val="20"/>
          <w:lang w:val="en-AU"/>
        </w:rPr>
        <w:t>43212120150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556E7D" w:rsidRPr="00D05121">
        <w:rPr>
          <w:rFonts w:ascii="Verdana" w:hAnsi="Verdana"/>
          <w:noProof/>
          <w:color w:val="222222"/>
          <w:sz w:val="18"/>
          <w:szCs w:val="18"/>
          <w:shd w:val="clear" w:color="auto" w:fill="FFFFFF"/>
          <w:lang w:val="en-US"/>
        </w:rPr>
        <w:t>081932229292/ 08118183900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556E7D" w:rsidRPr="00D05121">
        <w:rPr>
          <w:noProof/>
          <w:color w:val="000000"/>
          <w:sz w:val="20"/>
          <w:szCs w:val="20"/>
          <w:lang w:val="en-AU"/>
        </w:rPr>
        <w:t>analisis pengaruh penerapan good corporate governance dan kebijakan direksi terhadap kinerja keuangan perbankan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56E7D"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95F07"/>
    <w:rsid w:val="00396251"/>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A5CC2"/>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C3A27"/>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3F57-F906-493A-9617-14469218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2018-04-11T08:27:00Z</cp:lastPrinted>
  <dcterms:created xsi:type="dcterms:W3CDTF">2018-04-11T08:28:00Z</dcterms:created>
  <dcterms:modified xsi:type="dcterms:W3CDTF">2018-04-11T08:28:00Z</dcterms:modified>
</cp:coreProperties>
</file>