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252D8" w:rsidRPr="00DA15B7">
        <w:rPr>
          <w:rFonts w:eastAsia="Arial Unicode MS"/>
          <w:noProof/>
          <w:color w:val="000000"/>
          <w:sz w:val="22"/>
          <w:szCs w:val="22"/>
          <w:lang w:val="en-AU"/>
        </w:rPr>
        <w:t>240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C252D8" w:rsidRPr="00DA15B7">
        <w:rPr>
          <w:b/>
          <w:noProof/>
          <w:color w:val="000000"/>
          <w:sz w:val="20"/>
          <w:szCs w:val="20"/>
          <w:lang w:val="en-US"/>
        </w:rPr>
        <w:t>Lucky Nugroho, SE, MM,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C252D8" w:rsidRPr="00DA15B7">
        <w:rPr>
          <w:b/>
          <w:noProof/>
          <w:color w:val="000000"/>
          <w:sz w:val="20"/>
          <w:szCs w:val="20"/>
          <w:lang w:val="en-US"/>
        </w:rPr>
        <w:t>0321127903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C252D8" w:rsidRPr="00DA15B7">
        <w:rPr>
          <w:b/>
          <w:noProof/>
          <w:color w:val="000000"/>
          <w:sz w:val="20"/>
          <w:szCs w:val="20"/>
          <w:lang w:val="en-US"/>
        </w:rPr>
        <w:t>615790057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C252D8"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252D8" w:rsidRPr="00DA15B7">
        <w:rPr>
          <w:noProof/>
          <w:color w:val="000000"/>
          <w:sz w:val="20"/>
          <w:szCs w:val="20"/>
          <w:lang w:val="en-AU"/>
        </w:rPr>
        <w:t>Nova Apriwanda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252D8" w:rsidRPr="00DA15B7">
        <w:rPr>
          <w:noProof/>
          <w:color w:val="000000"/>
          <w:sz w:val="20"/>
          <w:szCs w:val="20"/>
          <w:lang w:val="en-AU"/>
        </w:rPr>
        <w:t>43216110093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C252D8"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C252D8" w:rsidRPr="00DA15B7">
        <w:rPr>
          <w:rFonts w:ascii="Verdana" w:hAnsi="Verdana"/>
          <w:noProof/>
          <w:color w:val="222222"/>
          <w:sz w:val="18"/>
          <w:szCs w:val="18"/>
          <w:shd w:val="clear" w:color="auto" w:fill="FFFFFF"/>
          <w:lang w:val="en-US"/>
        </w:rPr>
        <w:t>082114086458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C252D8" w:rsidRPr="00DA15B7">
        <w:rPr>
          <w:noProof/>
          <w:color w:val="000000"/>
          <w:sz w:val="20"/>
          <w:szCs w:val="20"/>
          <w:lang w:val="en-AU"/>
        </w:rPr>
        <w:t>Pengaruh profitability, penghargaan, Dan tipe kepemilikan bank umum syariah terhadap pengungkapan Islamic social reporting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252D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160D-2EE5-492E-9FE1-A15F0F2C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2018-04-10T08:20:00Z</cp:lastPrinted>
  <dcterms:created xsi:type="dcterms:W3CDTF">2018-04-10T08:20:00Z</dcterms:created>
  <dcterms:modified xsi:type="dcterms:W3CDTF">2018-04-10T08:20:00Z</dcterms:modified>
</cp:coreProperties>
</file>