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72F34" w:rsidRPr="00DA15B7">
        <w:rPr>
          <w:rFonts w:eastAsia="Arial Unicode MS"/>
          <w:noProof/>
          <w:color w:val="000000"/>
          <w:sz w:val="22"/>
          <w:szCs w:val="22"/>
          <w:lang w:val="en-AU"/>
        </w:rPr>
        <w:t>137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B72F34" w:rsidRPr="00DA15B7">
        <w:rPr>
          <w:b/>
          <w:noProof/>
          <w:color w:val="000000"/>
          <w:sz w:val="20"/>
          <w:szCs w:val="20"/>
          <w:lang w:val="en-US"/>
        </w:rPr>
        <w:t>Dr. Yudhi H, Ak., M.Si., CA., CSRA., CPAI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B72F34" w:rsidRPr="00DA15B7">
        <w:rPr>
          <w:b/>
          <w:noProof/>
          <w:color w:val="000000"/>
          <w:sz w:val="20"/>
          <w:szCs w:val="20"/>
          <w:lang w:val="en-US"/>
        </w:rPr>
        <w:t>0305086504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B72F34" w:rsidRPr="00DA15B7">
        <w:rPr>
          <w:b/>
          <w:noProof/>
          <w:color w:val="000000"/>
          <w:sz w:val="20"/>
          <w:szCs w:val="20"/>
          <w:lang w:val="en-US"/>
        </w:rPr>
        <w:t>193650112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B72F34"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72F34" w:rsidRPr="00DA15B7">
        <w:rPr>
          <w:noProof/>
          <w:color w:val="000000"/>
          <w:sz w:val="20"/>
          <w:szCs w:val="20"/>
          <w:lang w:val="en-AU"/>
        </w:rPr>
        <w:t>Nanik Nuraini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72F34" w:rsidRPr="00DA15B7">
        <w:rPr>
          <w:noProof/>
          <w:color w:val="000000"/>
          <w:sz w:val="20"/>
          <w:szCs w:val="20"/>
          <w:lang w:val="en-AU"/>
        </w:rPr>
        <w:t>43213120042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B72F34" w:rsidRPr="00DA15B7">
        <w:rPr>
          <w:rFonts w:ascii="Verdana" w:hAnsi="Verdana"/>
          <w:noProof/>
          <w:color w:val="222222"/>
          <w:sz w:val="18"/>
          <w:szCs w:val="18"/>
          <w:shd w:val="clear" w:color="auto" w:fill="FFFFFF"/>
          <w:lang w:val="en-US"/>
        </w:rPr>
        <w:t>08159902683/71367674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B72F34" w:rsidRPr="00DA15B7">
        <w:rPr>
          <w:noProof/>
          <w:color w:val="000000"/>
          <w:sz w:val="20"/>
          <w:szCs w:val="20"/>
          <w:lang w:val="en-AU"/>
        </w:rPr>
        <w:t>Analisis Manajemen dan auditor eksternal mengenai efektivitas pendektesian dan pencegahan tindakan kecurangan laporan keuangan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B72F3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6B0B"/>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EC09-D96C-45FF-94F4-E4C668B7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2018-04-10T06:41:00Z</cp:lastPrinted>
  <dcterms:created xsi:type="dcterms:W3CDTF">2018-04-10T06:41:00Z</dcterms:created>
  <dcterms:modified xsi:type="dcterms:W3CDTF">2018-04-10T06:41:00Z</dcterms:modified>
</cp:coreProperties>
</file>