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1549B" w:rsidRPr="00DA15B7">
        <w:rPr>
          <w:rFonts w:eastAsia="Arial Unicode MS"/>
          <w:noProof/>
          <w:color w:val="000000"/>
          <w:sz w:val="22"/>
          <w:szCs w:val="22"/>
          <w:lang w:val="en-AU"/>
        </w:rPr>
        <w:t>55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D1549B"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D1549B"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D1549B"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D1549B"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1549B" w:rsidRPr="00DA15B7">
        <w:rPr>
          <w:noProof/>
          <w:color w:val="000000"/>
          <w:sz w:val="20"/>
          <w:szCs w:val="20"/>
          <w:lang w:val="en-AU"/>
        </w:rPr>
        <w:t>Muhammad Gazza Fedriawan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1549B" w:rsidRPr="00DA15B7">
        <w:rPr>
          <w:noProof/>
          <w:color w:val="000000"/>
          <w:sz w:val="20"/>
          <w:szCs w:val="20"/>
          <w:lang w:val="en-AU"/>
        </w:rPr>
        <w:t>43213120299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D1549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D1549B"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D1549B" w:rsidRPr="00DA15B7">
        <w:rPr>
          <w:noProof/>
          <w:color w:val="000000"/>
          <w:sz w:val="20"/>
          <w:szCs w:val="20"/>
          <w:lang w:val="en-AU"/>
        </w:rPr>
        <w:t>pengaruh negosiasi debt contracts, fixed asset intensity, dan market to book ratio terhadap perusahaan melakukan revaluasi asset tetap</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1549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34D3"/>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F244-E722-4F97-BD11-3A5094B5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2018-04-10T03:14:00Z</cp:lastPrinted>
  <dcterms:created xsi:type="dcterms:W3CDTF">2018-04-10T03:14:00Z</dcterms:created>
  <dcterms:modified xsi:type="dcterms:W3CDTF">2018-04-10T03:14:00Z</dcterms:modified>
</cp:coreProperties>
</file>