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91A0E" w:rsidRPr="00DA15B7">
        <w:rPr>
          <w:rFonts w:eastAsia="Arial Unicode MS"/>
          <w:noProof/>
          <w:color w:val="000000"/>
          <w:sz w:val="22"/>
          <w:szCs w:val="22"/>
          <w:lang w:val="en-AU"/>
        </w:rPr>
        <w:t>83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D91A0E"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D91A0E"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D91A0E"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D91A0E"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91A0E" w:rsidRPr="00DA15B7">
        <w:rPr>
          <w:noProof/>
          <w:color w:val="000000"/>
          <w:sz w:val="20"/>
          <w:szCs w:val="20"/>
          <w:lang w:val="en-AU"/>
        </w:rPr>
        <w:t>Meta Fadilah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91A0E" w:rsidRPr="00DA15B7">
        <w:rPr>
          <w:noProof/>
          <w:color w:val="000000"/>
          <w:sz w:val="20"/>
          <w:szCs w:val="20"/>
          <w:lang w:val="en-AU"/>
        </w:rPr>
        <w:t>43213120414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D91A0E"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D91A0E"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D91A0E" w:rsidRPr="00DA15B7">
        <w:rPr>
          <w:noProof/>
          <w:color w:val="000000"/>
          <w:sz w:val="20"/>
          <w:szCs w:val="20"/>
          <w:lang w:val="en-AU"/>
        </w:rPr>
        <w:t>Pengaruh GCG dan Profitabilitas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91A0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56DC-2479-4DF3-A730-5E081FD7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2018-04-10T03:45:00Z</cp:lastPrinted>
  <dcterms:created xsi:type="dcterms:W3CDTF">2018-04-10T03:46:00Z</dcterms:created>
  <dcterms:modified xsi:type="dcterms:W3CDTF">2018-04-10T03:46:00Z</dcterms:modified>
</cp:coreProperties>
</file>