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922EC" w:rsidRPr="00DA15B7">
        <w:rPr>
          <w:rFonts w:eastAsia="Arial Unicode MS"/>
          <w:noProof/>
          <w:color w:val="000000"/>
          <w:sz w:val="22"/>
          <w:szCs w:val="22"/>
          <w:lang w:val="en-AU"/>
        </w:rPr>
        <w:t>158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6922EC"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6922EC"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6922EC"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6922EC"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922EC" w:rsidRPr="00DA15B7">
        <w:rPr>
          <w:noProof/>
          <w:color w:val="000000"/>
          <w:sz w:val="20"/>
          <w:szCs w:val="20"/>
          <w:lang w:val="en-AU"/>
        </w:rPr>
        <w:t>Magfiroh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922EC" w:rsidRPr="00DA15B7">
        <w:rPr>
          <w:noProof/>
          <w:color w:val="000000"/>
          <w:sz w:val="20"/>
          <w:szCs w:val="20"/>
          <w:lang w:val="en-AU"/>
        </w:rPr>
        <w:t>43213120194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6922EC"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6922EC"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922EC" w:rsidRPr="00DA15B7">
        <w:rPr>
          <w:noProof/>
          <w:color w:val="000000"/>
          <w:sz w:val="20"/>
          <w:szCs w:val="20"/>
          <w:lang w:val="en-AU"/>
        </w:rPr>
        <w:t>Pengaruh faktor kepemilikan manajerial, good corporate governance dan earning management terhadap agresivitas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922E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2E66-671E-4B5B-928F-CBB5542C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2018-04-10T06:54:00Z</cp:lastPrinted>
  <dcterms:created xsi:type="dcterms:W3CDTF">2018-04-10T06:55:00Z</dcterms:created>
  <dcterms:modified xsi:type="dcterms:W3CDTF">2018-04-10T06:55:00Z</dcterms:modified>
</cp:coreProperties>
</file>