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20909" w:rsidRPr="00DA15B7">
        <w:rPr>
          <w:rFonts w:eastAsia="Arial Unicode MS"/>
          <w:noProof/>
          <w:color w:val="000000"/>
          <w:sz w:val="22"/>
          <w:szCs w:val="22"/>
          <w:lang w:val="en-AU"/>
        </w:rPr>
        <w:t>101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20909"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920909"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20909"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20909"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20909" w:rsidRPr="00DA15B7">
        <w:rPr>
          <w:noProof/>
          <w:color w:val="000000"/>
          <w:sz w:val="20"/>
          <w:szCs w:val="20"/>
          <w:lang w:val="en-AU"/>
        </w:rPr>
        <w:t>Khumairoh Nur'Aini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20909" w:rsidRPr="00DA15B7">
        <w:rPr>
          <w:noProof/>
          <w:color w:val="000000"/>
          <w:sz w:val="20"/>
          <w:szCs w:val="20"/>
          <w:lang w:val="en-AU"/>
        </w:rPr>
        <w:t>43213120230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920909"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20909"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20909" w:rsidRPr="00DA15B7">
        <w:rPr>
          <w:noProof/>
          <w:color w:val="000000"/>
          <w:sz w:val="20"/>
          <w:szCs w:val="20"/>
          <w:lang w:val="en-AU"/>
        </w:rPr>
        <w:t>Pengaruh Governance structure dan fungsi internal control terhadap fee audit eksternal pada perusahaan publik di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2090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1983-F266-4C4C-A28A-9611C396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2018-04-10T04:05:00Z</cp:lastPrinted>
  <dcterms:created xsi:type="dcterms:W3CDTF">2018-04-10T04:06:00Z</dcterms:created>
  <dcterms:modified xsi:type="dcterms:W3CDTF">2018-04-10T04:06:00Z</dcterms:modified>
</cp:coreProperties>
</file>