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215CB" w:rsidRPr="00DA15B7">
        <w:rPr>
          <w:rFonts w:eastAsia="Arial Unicode MS"/>
          <w:noProof/>
          <w:color w:val="000000"/>
          <w:sz w:val="22"/>
          <w:szCs w:val="22"/>
          <w:lang w:val="en-AU"/>
        </w:rPr>
        <w:t>114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215CB"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C215CB"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C215CB"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C215CB"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215CB" w:rsidRPr="00DA15B7">
        <w:rPr>
          <w:noProof/>
          <w:color w:val="000000"/>
          <w:sz w:val="20"/>
          <w:szCs w:val="20"/>
          <w:lang w:val="en-AU"/>
        </w:rPr>
        <w:t>Ina Verawati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215CB" w:rsidRPr="00DA15B7">
        <w:rPr>
          <w:noProof/>
          <w:color w:val="000000"/>
          <w:sz w:val="20"/>
          <w:szCs w:val="20"/>
          <w:lang w:val="en-AU"/>
        </w:rPr>
        <w:t>43216110236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C215C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C215CB"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C215CB" w:rsidRPr="00DA15B7">
        <w:rPr>
          <w:noProof/>
          <w:color w:val="000000"/>
          <w:sz w:val="20"/>
          <w:szCs w:val="20"/>
          <w:lang w:val="en-AU"/>
        </w:rPr>
        <w:t>Pengaruh Praktek Corporate Governance Terhadap Manajemen Laba dengan Variabel Pemoderasi Kepemilikan Institusional dan Kepemilikan Asing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215C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38E1-D95B-4FC4-B7FA-44EC71F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2018-04-10T04:24:00Z</cp:lastPrinted>
  <dcterms:created xsi:type="dcterms:W3CDTF">2018-04-10T04:24:00Z</dcterms:created>
  <dcterms:modified xsi:type="dcterms:W3CDTF">2018-04-10T04:24:00Z</dcterms:modified>
</cp:coreProperties>
</file>