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D2153" w:rsidRPr="00DA15B7">
        <w:rPr>
          <w:rFonts w:eastAsia="Arial Unicode MS"/>
          <w:noProof/>
          <w:color w:val="000000"/>
          <w:sz w:val="22"/>
          <w:szCs w:val="22"/>
          <w:lang w:val="en-AU"/>
        </w:rPr>
        <w:t>170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BD2153" w:rsidRPr="00DA15B7">
        <w:rPr>
          <w:b/>
          <w:noProof/>
          <w:color w:val="000000"/>
          <w:sz w:val="20"/>
          <w:szCs w:val="20"/>
          <w:lang w:val="en-US"/>
        </w:rPr>
        <w:t>Dra. Ratna Mappanyuki,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BD2153" w:rsidRPr="00DA15B7">
        <w:rPr>
          <w:b/>
          <w:noProof/>
          <w:color w:val="000000"/>
          <w:sz w:val="20"/>
          <w:szCs w:val="20"/>
          <w:lang w:val="en-US"/>
        </w:rPr>
        <w:t>0303036301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BD2153" w:rsidRPr="00DA15B7">
        <w:rPr>
          <w:b/>
          <w:noProof/>
          <w:color w:val="000000"/>
          <w:sz w:val="20"/>
          <w:szCs w:val="20"/>
          <w:lang w:val="en-US"/>
        </w:rPr>
        <w:t>101630254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BD2153"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D2153" w:rsidRPr="00DA15B7">
        <w:rPr>
          <w:noProof/>
          <w:color w:val="000000"/>
          <w:sz w:val="20"/>
          <w:szCs w:val="20"/>
          <w:lang w:val="en-AU"/>
        </w:rPr>
        <w:t>IKHSANIA AGUSTINE</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D2153" w:rsidRPr="00DA15B7">
        <w:rPr>
          <w:noProof/>
          <w:color w:val="000000"/>
          <w:sz w:val="20"/>
          <w:szCs w:val="20"/>
          <w:lang w:val="en-AU"/>
        </w:rPr>
        <w:t>43216110455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BD2153" w:rsidRPr="00DA15B7">
        <w:rPr>
          <w:rFonts w:ascii="Verdana" w:hAnsi="Verdana"/>
          <w:noProof/>
          <w:color w:val="222222"/>
          <w:sz w:val="18"/>
          <w:szCs w:val="18"/>
          <w:shd w:val="clear" w:color="auto" w:fill="FFFFFF"/>
          <w:lang w:val="en-US"/>
        </w:rPr>
        <w:t>08128109976/ 280643347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BD2153" w:rsidRPr="00DA15B7">
        <w:rPr>
          <w:noProof/>
          <w:color w:val="000000"/>
          <w:sz w:val="20"/>
          <w:szCs w:val="20"/>
          <w:lang w:val="en-AU"/>
        </w:rPr>
        <w:t>PENGARUH PERBEDAAN LABA KOMERSIAL DAN LABA FISKAL TERHADAP MANAJEMEN LABA PADA PERUSAHAAN YANG TERDAFTAR DI BURSA EFEK INDONESIA TAHUN 2013 - 2015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D215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5FBD-36CB-4925-B540-A4BE8CA8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2018-04-10T07:04:00Z</cp:lastPrinted>
  <dcterms:created xsi:type="dcterms:W3CDTF">2018-04-10T07:04:00Z</dcterms:created>
  <dcterms:modified xsi:type="dcterms:W3CDTF">2018-04-10T07:04:00Z</dcterms:modified>
</cp:coreProperties>
</file>