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35ABB" w:rsidRPr="00DA15B7">
        <w:rPr>
          <w:rFonts w:eastAsia="Arial Unicode MS"/>
          <w:noProof/>
          <w:color w:val="000000"/>
          <w:sz w:val="22"/>
          <w:szCs w:val="22"/>
          <w:lang w:val="en-AU"/>
        </w:rPr>
        <w:t>184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535ABB"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535ABB"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535ABB"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535ABB"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35ABB" w:rsidRPr="00DA15B7">
        <w:rPr>
          <w:noProof/>
          <w:color w:val="000000"/>
          <w:sz w:val="20"/>
          <w:szCs w:val="20"/>
          <w:lang w:val="en-AU"/>
        </w:rPr>
        <w:t>Henny</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35ABB" w:rsidRPr="00DA15B7">
        <w:rPr>
          <w:noProof/>
          <w:color w:val="000000"/>
          <w:sz w:val="20"/>
          <w:szCs w:val="20"/>
          <w:lang w:val="en-AU"/>
        </w:rPr>
        <w:t>43213120143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535ABB"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535ABB"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535ABB" w:rsidRPr="00DA15B7">
        <w:rPr>
          <w:noProof/>
          <w:color w:val="000000"/>
          <w:sz w:val="20"/>
          <w:szCs w:val="20"/>
          <w:lang w:val="en-AU"/>
        </w:rPr>
        <w:t>analisa faktor2 yang mempengaruhi kepatuhan wajib pajak orang pribadi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35AB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1A2B"/>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69BC"/>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3163-1D9A-451A-8B1B-0EF45EAD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2018-04-10T07:17:00Z</cp:lastPrinted>
  <dcterms:created xsi:type="dcterms:W3CDTF">2018-04-10T07:17:00Z</dcterms:created>
  <dcterms:modified xsi:type="dcterms:W3CDTF">2018-04-10T07:17:00Z</dcterms:modified>
</cp:coreProperties>
</file>