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B07D0" w:rsidRPr="00DA15B7">
        <w:rPr>
          <w:rFonts w:eastAsia="Arial Unicode MS"/>
          <w:noProof/>
          <w:color w:val="000000"/>
          <w:sz w:val="22"/>
          <w:szCs w:val="22"/>
          <w:lang w:val="en-AU"/>
        </w:rPr>
        <w:t>125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2B07D0" w:rsidRPr="00DA15B7">
        <w:rPr>
          <w:b/>
          <w:noProof/>
          <w:color w:val="000000"/>
          <w:sz w:val="20"/>
          <w:szCs w:val="20"/>
          <w:lang w:val="en-US"/>
        </w:rPr>
        <w:t>Dr. Waluyo, M.Sc., MM.,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2B07D0" w:rsidRPr="00DA15B7">
        <w:rPr>
          <w:b/>
          <w:noProof/>
          <w:color w:val="000000"/>
          <w:sz w:val="20"/>
          <w:szCs w:val="20"/>
          <w:lang w:val="en-US"/>
        </w:rPr>
        <w:t>0315065402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2B07D0" w:rsidRPr="00DA15B7">
        <w:rPr>
          <w:b/>
          <w:noProof/>
          <w:color w:val="000000"/>
          <w:sz w:val="20"/>
          <w:szCs w:val="20"/>
          <w:lang w:val="en-US"/>
        </w:rPr>
        <w:t>113570390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2B07D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B07D0" w:rsidRPr="00DA15B7">
        <w:rPr>
          <w:noProof/>
          <w:color w:val="000000"/>
          <w:sz w:val="20"/>
          <w:szCs w:val="20"/>
          <w:lang w:val="en-AU"/>
        </w:rPr>
        <w:t>Endang Fitriana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B07D0" w:rsidRPr="00DA15B7">
        <w:rPr>
          <w:noProof/>
          <w:color w:val="000000"/>
          <w:sz w:val="20"/>
          <w:szCs w:val="20"/>
          <w:lang w:val="en-AU"/>
        </w:rPr>
        <w:t>43214110289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2B07D0"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2B07D0" w:rsidRPr="00DA15B7">
        <w:rPr>
          <w:rFonts w:ascii="Verdana" w:hAnsi="Verdana"/>
          <w:noProof/>
          <w:color w:val="222222"/>
          <w:sz w:val="18"/>
          <w:szCs w:val="18"/>
          <w:shd w:val="clear" w:color="auto" w:fill="FFFFFF"/>
          <w:lang w:val="en-US"/>
        </w:rPr>
        <w:t>0818820440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2B07D0" w:rsidRPr="00DA15B7">
        <w:rPr>
          <w:noProof/>
          <w:color w:val="000000"/>
          <w:sz w:val="20"/>
          <w:szCs w:val="20"/>
          <w:lang w:val="en-AU"/>
        </w:rPr>
        <w:t>Pengaruh Perencanaan Pajak Kinerja Keuangan Good Corvorate Governance dan Corporate Social responsibility Terhadap Nilai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B07D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2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B07D0"/>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9746-E419-405D-A627-23564731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2018-04-10T04:43:00Z</cp:lastPrinted>
  <dcterms:created xsi:type="dcterms:W3CDTF">2018-04-10T04:44:00Z</dcterms:created>
  <dcterms:modified xsi:type="dcterms:W3CDTF">2018-04-10T04:44:00Z</dcterms:modified>
</cp:coreProperties>
</file>