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818FE" w:rsidRPr="00D12947">
        <w:rPr>
          <w:rFonts w:eastAsia="Arial Unicode MS"/>
          <w:noProof/>
          <w:color w:val="000000"/>
          <w:sz w:val="22"/>
          <w:szCs w:val="22"/>
          <w:lang w:val="en-AU"/>
        </w:rPr>
        <w:t>177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818FE" w:rsidRPr="00D12947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18FE" w:rsidRPr="00D12947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18FE" w:rsidRPr="00D12947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18FE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818FE" w:rsidRPr="00D12947">
        <w:rPr>
          <w:noProof/>
          <w:color w:val="000000"/>
          <w:sz w:val="20"/>
          <w:szCs w:val="20"/>
          <w:lang w:val="en-AU"/>
        </w:rPr>
        <w:t>Elfandino Hari Fitrianto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818FE" w:rsidRPr="00D12947">
        <w:rPr>
          <w:noProof/>
          <w:color w:val="000000"/>
          <w:sz w:val="20"/>
          <w:szCs w:val="20"/>
          <w:lang w:val="en-AU"/>
        </w:rPr>
        <w:t>43214010130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818FE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F818FE" w:rsidRPr="00D12947">
        <w:rPr>
          <w:noProof/>
          <w:color w:val="000000"/>
          <w:sz w:val="20"/>
          <w:szCs w:val="20"/>
          <w:lang w:val="en-AU"/>
        </w:rPr>
        <w:t>085779996363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818FE" w:rsidRPr="00D12947">
        <w:rPr>
          <w:noProof/>
          <w:color w:val="000000"/>
          <w:sz w:val="20"/>
          <w:szCs w:val="20"/>
          <w:lang w:val="en-AU"/>
        </w:rPr>
        <w:t>" Pengaruh Residual Income, Rasio Solvabilitas, Dan Net Profit Margin Terhadap Return Saham"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7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DCA1-6260-473C-8459-4663A2BC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2018-04-05T06:19:00Z</cp:lastPrinted>
  <dcterms:created xsi:type="dcterms:W3CDTF">2018-04-05T06:20:00Z</dcterms:created>
  <dcterms:modified xsi:type="dcterms:W3CDTF">2018-04-05T06:20:00Z</dcterms:modified>
</cp:coreProperties>
</file>