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300BC" w:rsidRPr="00900971">
        <w:rPr>
          <w:rFonts w:eastAsia="Arial Unicode MS"/>
          <w:noProof/>
          <w:color w:val="000000"/>
          <w:sz w:val="22"/>
          <w:szCs w:val="22"/>
          <w:lang w:val="en-AU"/>
        </w:rPr>
        <w:t>220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300BC" w:rsidRPr="00900971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6300BC" w:rsidRPr="00900971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00BC" w:rsidRPr="00900971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00BC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300BC" w:rsidRPr="00900971">
        <w:rPr>
          <w:noProof/>
          <w:color w:val="000000"/>
          <w:sz w:val="20"/>
          <w:szCs w:val="20"/>
          <w:lang w:val="en-AU"/>
        </w:rPr>
        <w:t>Bayu Susanto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300BC" w:rsidRPr="00900971">
        <w:rPr>
          <w:noProof/>
          <w:color w:val="000000"/>
          <w:sz w:val="20"/>
          <w:szCs w:val="20"/>
          <w:lang w:val="en-AU"/>
        </w:rPr>
        <w:t>43214010277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300BC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6300BC" w:rsidRPr="00900971">
        <w:rPr>
          <w:noProof/>
          <w:color w:val="000000"/>
          <w:sz w:val="20"/>
          <w:szCs w:val="20"/>
          <w:lang w:val="en-AU"/>
        </w:rPr>
        <w:t>085772598982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300BC" w:rsidRPr="00900971">
        <w:rPr>
          <w:noProof/>
          <w:color w:val="000000"/>
          <w:sz w:val="20"/>
          <w:szCs w:val="20"/>
          <w:lang w:val="en-AU"/>
        </w:rPr>
        <w:t>" Pengaruh Penerapan Good Corporate Governance Terhadap Tax Avoidance Dengan Insentif Eksekutif Sebagai Variabel Intervening"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0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53D3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86026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4935-4B0D-48A0-A2B3-0C51AD5E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2018-04-06T01:34:00Z</cp:lastPrinted>
  <dcterms:created xsi:type="dcterms:W3CDTF">2018-04-06T01:35:00Z</dcterms:created>
  <dcterms:modified xsi:type="dcterms:W3CDTF">2018-04-06T01:35:00Z</dcterms:modified>
</cp:coreProperties>
</file>