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B7DA7" w:rsidRPr="00D05121">
        <w:rPr>
          <w:rFonts w:eastAsia="Arial Unicode MS"/>
          <w:noProof/>
          <w:color w:val="000000"/>
          <w:sz w:val="22"/>
          <w:szCs w:val="22"/>
          <w:lang w:val="en-AU"/>
        </w:rPr>
        <w:t>283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4B7DA7"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4B7DA7"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4B7DA7"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4B7DA7"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4B7DA7"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4B7DA7"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B7DA7" w:rsidRPr="00D05121">
        <w:rPr>
          <w:noProof/>
          <w:color w:val="000000"/>
          <w:sz w:val="20"/>
          <w:szCs w:val="20"/>
          <w:lang w:val="en-AU"/>
        </w:rPr>
        <w:t>Augustin Nadia Putri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B7DA7" w:rsidRPr="00D05121">
        <w:rPr>
          <w:noProof/>
          <w:color w:val="000000"/>
          <w:sz w:val="20"/>
          <w:szCs w:val="20"/>
          <w:lang w:val="en-AU"/>
        </w:rPr>
        <w:t>43215120118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4B7DA7"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4B7DA7"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4B7DA7" w:rsidRPr="00D05121">
        <w:rPr>
          <w:noProof/>
          <w:color w:val="000000"/>
          <w:sz w:val="20"/>
          <w:szCs w:val="20"/>
          <w:lang w:val="en-AU"/>
        </w:rPr>
        <w:t>Pengaruh Kondisi Keuangan, Pertumbuhan Perusahaan, dan Kualitas Audit Terhadap Opini Wajar Tanpa Pengecualian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2269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EA70-1346-4572-9615-5A2F1328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2018-04-11T08:17:00Z</cp:lastPrinted>
  <dcterms:created xsi:type="dcterms:W3CDTF">2018-04-11T08:18:00Z</dcterms:created>
  <dcterms:modified xsi:type="dcterms:W3CDTF">2018-04-11T08:18:00Z</dcterms:modified>
</cp:coreProperties>
</file>