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390BF0" w:rsidRPr="00DA15B7">
        <w:rPr>
          <w:rFonts w:eastAsia="Arial Unicode MS"/>
          <w:noProof/>
          <w:color w:val="000000"/>
          <w:sz w:val="22"/>
          <w:szCs w:val="22"/>
          <w:lang w:val="en-AU"/>
        </w:rPr>
        <w:t>153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390BF0" w:rsidRPr="00DA15B7">
        <w:rPr>
          <w:b/>
          <w:noProof/>
          <w:color w:val="000000"/>
          <w:sz w:val="20"/>
          <w:szCs w:val="20"/>
          <w:lang w:val="en-US"/>
        </w:rPr>
        <w:t>Dra. Muti'ah,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390BF0" w:rsidRPr="00DA15B7">
        <w:rPr>
          <w:b/>
          <w:noProof/>
          <w:color w:val="000000"/>
          <w:sz w:val="20"/>
          <w:szCs w:val="20"/>
          <w:lang w:val="en-US"/>
        </w:rPr>
        <w:t>0305066501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390BF0" w:rsidRPr="00DA15B7">
        <w:rPr>
          <w:b/>
          <w:noProof/>
          <w:color w:val="000000"/>
          <w:sz w:val="20"/>
          <w:szCs w:val="20"/>
          <w:lang w:val="en-US"/>
        </w:rPr>
        <w:t>195650164</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390BF0"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390BF0" w:rsidRPr="00DA15B7">
        <w:rPr>
          <w:noProof/>
          <w:color w:val="000000"/>
          <w:sz w:val="20"/>
          <w:szCs w:val="20"/>
          <w:lang w:val="en-AU"/>
        </w:rPr>
        <w:t>Astrid Octaviani Safitri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390BF0" w:rsidRPr="00DA15B7">
        <w:rPr>
          <w:noProof/>
          <w:color w:val="000000"/>
          <w:sz w:val="20"/>
          <w:szCs w:val="20"/>
          <w:lang w:val="en-AU"/>
        </w:rPr>
        <w:t>43213120056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643346">
        <w:rPr>
          <w:color w:val="000000"/>
          <w:sz w:val="20"/>
          <w:szCs w:val="20"/>
          <w:lang w:val="en-AU"/>
        </w:rPr>
        <w:fldChar w:fldCharType="separate"/>
      </w:r>
      <w:r w:rsidR="00390BF0"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390BF0" w:rsidRPr="00DA15B7">
        <w:rPr>
          <w:rFonts w:ascii="Verdana" w:hAnsi="Verdana"/>
          <w:noProof/>
          <w:color w:val="222222"/>
          <w:sz w:val="18"/>
          <w:szCs w:val="18"/>
          <w:shd w:val="clear" w:color="auto" w:fill="FFFFFF"/>
          <w:lang w:val="en-US"/>
        </w:rPr>
        <w:t>081310481232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390BF0">
        <w:rPr>
          <w:color w:val="000000"/>
          <w:sz w:val="20"/>
          <w:szCs w:val="20"/>
          <w:lang w:val="en-AU"/>
        </w:rPr>
        <w:fldChar w:fldCharType="separate"/>
      </w:r>
      <w:r w:rsidR="00390BF0" w:rsidRPr="00DA15B7">
        <w:rPr>
          <w:noProof/>
          <w:color w:val="000000"/>
          <w:sz w:val="20"/>
          <w:szCs w:val="20"/>
          <w:lang w:val="en-AU"/>
        </w:rPr>
        <w:t>Pengaruh Intensitas Asset teta[, ROA, CSR, Sales Growth dan Karakteristik perusahaan terhadapa Penghindaran pajak</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390BF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5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42D56"/>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94E33"/>
    <w:rsid w:val="00494EEC"/>
    <w:rsid w:val="004A1107"/>
    <w:rsid w:val="004A2129"/>
    <w:rsid w:val="004A2B23"/>
    <w:rsid w:val="004A3BCB"/>
    <w:rsid w:val="004A421B"/>
    <w:rsid w:val="004B12C8"/>
    <w:rsid w:val="004B3DB3"/>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8442F"/>
    <w:rsid w:val="00686B0B"/>
    <w:rsid w:val="006870B9"/>
    <w:rsid w:val="006A4244"/>
    <w:rsid w:val="006A4685"/>
    <w:rsid w:val="006B17ED"/>
    <w:rsid w:val="006C5AF1"/>
    <w:rsid w:val="006C636C"/>
    <w:rsid w:val="006D0CF6"/>
    <w:rsid w:val="006D1DF3"/>
    <w:rsid w:val="006D4B54"/>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03263"/>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2F34"/>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750E"/>
    <w:rsid w:val="00E11C77"/>
    <w:rsid w:val="00E13E61"/>
    <w:rsid w:val="00E210D7"/>
    <w:rsid w:val="00E2374C"/>
    <w:rsid w:val="00E24B81"/>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E76E2"/>
    <w:rsid w:val="00EF23CE"/>
    <w:rsid w:val="00EF3375"/>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D644-E98A-4BC4-B0B2-00EC3596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2018-04-10T06:51:00Z</cp:lastPrinted>
  <dcterms:created xsi:type="dcterms:W3CDTF">2018-04-10T06:52:00Z</dcterms:created>
  <dcterms:modified xsi:type="dcterms:W3CDTF">2018-04-10T06:52:00Z</dcterms:modified>
</cp:coreProperties>
</file>