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A20C2" w:rsidRPr="00032C8A">
        <w:rPr>
          <w:rFonts w:eastAsia="Arial Unicode MS"/>
          <w:noProof/>
          <w:color w:val="000000"/>
          <w:sz w:val="22"/>
          <w:szCs w:val="22"/>
          <w:lang w:val="en-AU"/>
        </w:rPr>
        <w:t>95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FA20C2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A20C2" w:rsidRPr="00032C8A">
        <w:rPr>
          <w:noProof/>
          <w:color w:val="000000"/>
          <w:sz w:val="20"/>
          <w:szCs w:val="20"/>
          <w:lang w:val="en-AU"/>
        </w:rPr>
        <w:t>Widyananda Anggraini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A20C2" w:rsidRPr="00032C8A">
        <w:rPr>
          <w:noProof/>
          <w:color w:val="000000"/>
          <w:sz w:val="20"/>
          <w:szCs w:val="20"/>
          <w:lang w:val="en-AU"/>
        </w:rPr>
        <w:t>43215110545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A20C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A20C2" w:rsidRPr="00032C8A">
        <w:rPr>
          <w:noProof/>
          <w:color w:val="000000"/>
          <w:sz w:val="20"/>
          <w:szCs w:val="20"/>
          <w:lang w:val="en-AU"/>
        </w:rPr>
        <w:t>089674131093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A20C2" w:rsidRPr="00032C8A">
        <w:rPr>
          <w:noProof/>
          <w:color w:val="000000"/>
          <w:sz w:val="20"/>
          <w:szCs w:val="20"/>
          <w:lang w:val="en-AU"/>
        </w:rPr>
        <w:t>Pengaruh Arus Kas Operasi, Size, dan ROE, terhadap Return Saham pada Perusahaan Sektor Manufaktur Sub Sektor Konstruksi dan Bangunan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FAB8-4073-4682-A5FA-9A338E7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2017-06-03T07:09:00Z</cp:lastPrinted>
  <dcterms:created xsi:type="dcterms:W3CDTF">2017-06-03T07:11:00Z</dcterms:created>
  <dcterms:modified xsi:type="dcterms:W3CDTF">2017-06-03T07:11:00Z</dcterms:modified>
</cp:coreProperties>
</file>