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74D79" w:rsidRPr="001B6E66">
        <w:rPr>
          <w:rFonts w:eastAsia="Arial Unicode MS"/>
          <w:noProof/>
          <w:color w:val="000000"/>
          <w:sz w:val="22"/>
          <w:szCs w:val="22"/>
          <w:lang w:val="en-AU"/>
        </w:rPr>
        <w:t>339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74D79" w:rsidRPr="001B6E66">
        <w:rPr>
          <w:b/>
          <w:noProof/>
          <w:color w:val="000000"/>
          <w:sz w:val="20"/>
          <w:szCs w:val="20"/>
          <w:lang w:val="en-US"/>
        </w:rPr>
        <w:t>Yulia Yustikasari, SE, M.Sc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674D79" w:rsidRPr="001B6E66">
        <w:rPr>
          <w:b/>
          <w:noProof/>
          <w:color w:val="000000"/>
          <w:sz w:val="20"/>
          <w:szCs w:val="20"/>
          <w:lang w:val="en-US"/>
        </w:rPr>
        <w:t>614800512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674D79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674D79" w:rsidRPr="001B6E66">
        <w:rPr>
          <w:b/>
          <w:noProof/>
          <w:color w:val="000000"/>
          <w:sz w:val="20"/>
          <w:szCs w:val="20"/>
          <w:lang w:val="en-US"/>
        </w:rPr>
        <w:t>085702555268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378DF">
        <w:rPr>
          <w:b/>
          <w:color w:val="000000"/>
          <w:sz w:val="20"/>
          <w:szCs w:val="20"/>
          <w:lang w:val="en-US"/>
        </w:rPr>
        <w:fldChar w:fldCharType="separate"/>
      </w:r>
      <w:r w:rsidR="00674D79" w:rsidRPr="001B6E66">
        <w:rPr>
          <w:b/>
          <w:noProof/>
          <w:color w:val="000000"/>
          <w:sz w:val="20"/>
          <w:szCs w:val="20"/>
          <w:lang w:val="en-US"/>
        </w:rPr>
        <w:t>yuliayustikasari@gmail.com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74D79" w:rsidRPr="001B6E66">
        <w:rPr>
          <w:noProof/>
          <w:color w:val="000000"/>
          <w:sz w:val="20"/>
          <w:szCs w:val="20"/>
          <w:lang w:val="en-AU"/>
        </w:rPr>
        <w:t>Tri Utomo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674D79" w:rsidRPr="001B6E66">
        <w:rPr>
          <w:noProof/>
          <w:color w:val="000000"/>
          <w:sz w:val="20"/>
          <w:szCs w:val="20"/>
          <w:lang w:val="en-AU"/>
        </w:rPr>
        <w:t>43213110223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74D79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74D79">
        <w:rPr>
          <w:color w:val="000000"/>
          <w:sz w:val="20"/>
          <w:szCs w:val="20"/>
          <w:lang w:val="en-AU"/>
        </w:rPr>
        <w:fldChar w:fldCharType="separate"/>
      </w:r>
      <w:r w:rsidR="00674D79" w:rsidRPr="001B6E66">
        <w:rPr>
          <w:noProof/>
          <w:color w:val="000000"/>
          <w:sz w:val="20"/>
          <w:szCs w:val="20"/>
          <w:lang w:val="en-AU"/>
        </w:rPr>
        <w:t>08990812558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74D79" w:rsidRPr="001B6E66">
        <w:rPr>
          <w:noProof/>
          <w:color w:val="000000"/>
          <w:sz w:val="20"/>
          <w:szCs w:val="20"/>
          <w:lang w:val="en-AU"/>
        </w:rPr>
        <w:t>Analisis Pengaruh Dana Pihak Ketiga (Dpk) , Biaya Operasional Terhadap Pendapatan Operasional (Bopo) Dan Pembiayaan Bermasalah Berpengaruh (Npf) Terhadap Profitabilitas (Roa) Bank Syariah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3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378DF"/>
    <w:rsid w:val="00972514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B848-B851-4F20-B1F1-2FDDAFF1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2017-06-10T03:15:00Z</cp:lastPrinted>
  <dcterms:created xsi:type="dcterms:W3CDTF">2017-06-10T03:16:00Z</dcterms:created>
  <dcterms:modified xsi:type="dcterms:W3CDTF">2017-06-10T03:16:00Z</dcterms:modified>
</cp:coreProperties>
</file>