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3488A" w:rsidRPr="001B6E66">
        <w:rPr>
          <w:rFonts w:eastAsia="Arial Unicode MS"/>
          <w:noProof/>
          <w:color w:val="000000"/>
          <w:sz w:val="22"/>
          <w:szCs w:val="22"/>
          <w:lang w:val="en-AU"/>
        </w:rPr>
        <w:t>341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488A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3488A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3488A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3488A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23488A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bookmarkEnd w:id="0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488A" w:rsidRPr="001B6E66">
        <w:rPr>
          <w:noProof/>
          <w:color w:val="000000"/>
          <w:sz w:val="20"/>
          <w:szCs w:val="20"/>
          <w:lang w:val="en-AU"/>
        </w:rPr>
        <w:t>Susan Purmasari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23488A" w:rsidRPr="001B6E66">
        <w:rPr>
          <w:noProof/>
          <w:color w:val="000000"/>
          <w:sz w:val="20"/>
          <w:szCs w:val="20"/>
          <w:lang w:val="en-AU"/>
        </w:rPr>
        <w:t>43213110009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3488A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74D79">
        <w:rPr>
          <w:color w:val="000000"/>
          <w:sz w:val="20"/>
          <w:szCs w:val="20"/>
          <w:lang w:val="en-AU"/>
        </w:rPr>
        <w:fldChar w:fldCharType="separate"/>
      </w:r>
      <w:r w:rsidR="0023488A" w:rsidRPr="001B6E66">
        <w:rPr>
          <w:noProof/>
          <w:color w:val="000000"/>
          <w:sz w:val="20"/>
          <w:szCs w:val="20"/>
          <w:lang w:val="en-AU"/>
        </w:rPr>
        <w:t>081289997107 / 0838933663061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488A" w:rsidRPr="001B6E66">
        <w:rPr>
          <w:noProof/>
          <w:color w:val="000000"/>
          <w:sz w:val="20"/>
          <w:szCs w:val="20"/>
          <w:lang w:val="en-AU"/>
        </w:rPr>
        <w:t>Trasparansi Dan Kinerja Dalam Perbangkan Syariah Berimplikasi Pada Pembagian Laba Serta Analisi Csr Terhadap Profitabilitas Bank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9A34-1547-4EE4-91F6-E4E51BE5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2017-06-10T03:17:00Z</cp:lastPrinted>
  <dcterms:created xsi:type="dcterms:W3CDTF">2017-06-10T03:17:00Z</dcterms:created>
  <dcterms:modified xsi:type="dcterms:W3CDTF">2017-06-10T03:17:00Z</dcterms:modified>
</cp:coreProperties>
</file>