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76209" w:rsidRPr="001B6E66">
        <w:rPr>
          <w:rFonts w:eastAsia="Arial Unicode MS"/>
          <w:noProof/>
          <w:color w:val="000000"/>
          <w:sz w:val="22"/>
          <w:szCs w:val="22"/>
          <w:lang w:val="en-AU"/>
        </w:rPr>
        <w:t>362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Drs. Suharmadi, Ak., MM,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081380975514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B76209" w:rsidRPr="001B6E66">
        <w:rPr>
          <w:b/>
          <w:noProof/>
          <w:color w:val="000000"/>
          <w:sz w:val="20"/>
          <w:szCs w:val="20"/>
          <w:lang w:val="en-US"/>
        </w:rPr>
        <w:t>suharmadi@mercubuana.ac.id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76209" w:rsidRPr="001B6E66">
        <w:rPr>
          <w:noProof/>
          <w:color w:val="000000"/>
          <w:sz w:val="20"/>
          <w:szCs w:val="20"/>
          <w:lang w:val="en-AU"/>
        </w:rPr>
        <w:t>Siti Asyiah Destiara Kusumah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B76209" w:rsidRPr="001B6E66">
        <w:rPr>
          <w:noProof/>
          <w:color w:val="000000"/>
          <w:sz w:val="20"/>
          <w:szCs w:val="20"/>
          <w:lang w:val="en-AU"/>
        </w:rPr>
        <w:t>43213110294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76209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B76209" w:rsidRPr="001B6E66">
        <w:rPr>
          <w:noProof/>
          <w:color w:val="000000"/>
          <w:sz w:val="20"/>
          <w:szCs w:val="20"/>
          <w:lang w:val="en-AU"/>
        </w:rPr>
        <w:t>Pengaruh Pengelolaan Laba Terhadap Pengungkapan Tanggung Jawab Sosial Perusahaan dengan Mekanisme Corporate Governance sebagai Variabel Moderating (Studi kasus pada Perusahaan Manufaktur yang terdapat di Brursa Efek Tahun 2014-2015)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6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B4422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28BA-9D27-4474-A9EF-F1AA61DD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2017-06-10T03:26:00Z</cp:lastPrinted>
  <dcterms:created xsi:type="dcterms:W3CDTF">2017-06-10T03:26:00Z</dcterms:created>
  <dcterms:modified xsi:type="dcterms:W3CDTF">2017-06-10T03:26:00Z</dcterms:modified>
</cp:coreProperties>
</file>