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B126B" w:rsidRPr="00032C8A">
        <w:rPr>
          <w:rFonts w:eastAsia="Arial Unicode MS"/>
          <w:noProof/>
          <w:color w:val="000000"/>
          <w:sz w:val="22"/>
          <w:szCs w:val="22"/>
          <w:lang w:val="en-AU"/>
        </w:rPr>
        <w:t>263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126B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126B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126B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126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126B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6B126B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126B" w:rsidRPr="00032C8A">
        <w:rPr>
          <w:noProof/>
          <w:color w:val="000000"/>
          <w:sz w:val="20"/>
          <w:szCs w:val="20"/>
          <w:lang w:val="en-AU"/>
        </w:rPr>
        <w:t>Romdoni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B126B" w:rsidRPr="00032C8A">
        <w:rPr>
          <w:noProof/>
          <w:color w:val="000000"/>
          <w:sz w:val="20"/>
          <w:szCs w:val="20"/>
          <w:lang w:val="en-AU"/>
        </w:rPr>
        <w:t>43212120011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B126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126B" w:rsidRPr="00032C8A">
        <w:rPr>
          <w:noProof/>
          <w:color w:val="000000"/>
          <w:sz w:val="20"/>
          <w:szCs w:val="20"/>
          <w:lang w:val="en-AU"/>
        </w:rPr>
        <w:t>Analisis Pengaruh  Capital Adequacy Ratio (Car), Loan To Deposit Ratio (Ldr), Dan Biaya Operasional Pendapatan Operasional (Bopo) Terhadap Profitabilitas Bank Devisa Tahun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8B70-E600-4872-A347-E4BDD792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2017-06-03T09:06:00Z</cp:lastPrinted>
  <dcterms:created xsi:type="dcterms:W3CDTF">2017-06-03T09:06:00Z</dcterms:created>
  <dcterms:modified xsi:type="dcterms:W3CDTF">2017-06-03T09:06:00Z</dcterms:modified>
</cp:coreProperties>
</file>