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97BC7" w:rsidRPr="00032C8A">
        <w:rPr>
          <w:rFonts w:eastAsia="Arial Unicode MS"/>
          <w:noProof/>
          <w:color w:val="000000"/>
          <w:sz w:val="22"/>
          <w:szCs w:val="22"/>
          <w:lang w:val="en-AU"/>
        </w:rPr>
        <w:t>264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7BC7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7BC7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7BC7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7BC7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7BC7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A97BC7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97BC7" w:rsidRPr="00032C8A">
        <w:rPr>
          <w:noProof/>
          <w:color w:val="000000"/>
          <w:sz w:val="20"/>
          <w:szCs w:val="20"/>
          <w:lang w:val="en-AU"/>
        </w:rPr>
        <w:t>Rifka Irhamna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97BC7" w:rsidRPr="00032C8A">
        <w:rPr>
          <w:noProof/>
          <w:color w:val="000000"/>
          <w:sz w:val="20"/>
          <w:szCs w:val="20"/>
          <w:lang w:val="en-AU"/>
        </w:rPr>
        <w:t>43213010242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97BC7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97BC7">
        <w:rPr>
          <w:color w:val="000000"/>
          <w:sz w:val="20"/>
          <w:szCs w:val="20"/>
          <w:lang w:val="en-AU"/>
        </w:rPr>
        <w:fldChar w:fldCharType="separate"/>
      </w:r>
      <w:r w:rsidR="00A97BC7" w:rsidRPr="00032C8A">
        <w:rPr>
          <w:noProof/>
          <w:color w:val="000000"/>
          <w:sz w:val="20"/>
          <w:szCs w:val="20"/>
          <w:lang w:val="en-AU"/>
        </w:rPr>
        <w:t>081288706270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97BC7" w:rsidRPr="00032C8A">
        <w:rPr>
          <w:noProof/>
          <w:color w:val="000000"/>
          <w:sz w:val="20"/>
          <w:szCs w:val="20"/>
          <w:lang w:val="en-AU"/>
        </w:rPr>
        <w:t>Pengaruh Faktor Internah Pada Bank Syariah Indonesia Untuk Memprediksi Deposito Mudharabah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B126B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5319B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97BC7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2C75-2D07-4436-B264-4E7898D2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2017-06-03T09:07:00Z</cp:lastPrinted>
  <dcterms:created xsi:type="dcterms:W3CDTF">2017-06-03T09:07:00Z</dcterms:created>
  <dcterms:modified xsi:type="dcterms:W3CDTF">2017-06-03T09:07:00Z</dcterms:modified>
</cp:coreProperties>
</file>