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54BA9" w:rsidRPr="00032C8A">
        <w:rPr>
          <w:rFonts w:eastAsia="Arial Unicode MS"/>
          <w:noProof/>
          <w:color w:val="000000"/>
          <w:sz w:val="22"/>
          <w:szCs w:val="22"/>
          <w:lang w:val="en-AU"/>
        </w:rPr>
        <w:t>169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E54BA9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4BA9" w:rsidRPr="00032C8A">
        <w:rPr>
          <w:noProof/>
          <w:color w:val="000000"/>
          <w:sz w:val="20"/>
          <w:szCs w:val="20"/>
          <w:lang w:val="en-AU"/>
        </w:rPr>
        <w:t>Ratih Sulastri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54BA9" w:rsidRPr="00032C8A">
        <w:rPr>
          <w:noProof/>
          <w:color w:val="000000"/>
          <w:sz w:val="20"/>
          <w:szCs w:val="20"/>
          <w:lang w:val="en-AU"/>
        </w:rPr>
        <w:t>43213110114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54BA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A618D">
        <w:rPr>
          <w:color w:val="000000"/>
          <w:sz w:val="20"/>
          <w:szCs w:val="20"/>
          <w:lang w:val="en-AU"/>
        </w:rPr>
        <w:fldChar w:fldCharType="separate"/>
      </w:r>
      <w:r w:rsidR="00E54BA9" w:rsidRPr="00032C8A">
        <w:rPr>
          <w:noProof/>
          <w:color w:val="000000"/>
          <w:sz w:val="20"/>
          <w:szCs w:val="20"/>
          <w:lang w:val="en-AU"/>
        </w:rPr>
        <w:t>082298918473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4BA9" w:rsidRPr="00032C8A">
        <w:rPr>
          <w:noProof/>
          <w:color w:val="000000"/>
          <w:sz w:val="20"/>
          <w:szCs w:val="20"/>
          <w:lang w:val="en-AU"/>
        </w:rPr>
        <w:t>Analisis Pengaruh Financial Stability, Personal Financial Need , External Pressure Dan Inneffective Monitoring Pada Financial Statement Fraud Terhadap Prespektif Fraud Triangel Pada Perusahaan Perbankan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23CE-20E1-4ED0-AD29-6A6125E5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2017-06-03T08:03:00Z</cp:lastPrinted>
  <dcterms:created xsi:type="dcterms:W3CDTF">2017-06-03T08:03:00Z</dcterms:created>
  <dcterms:modified xsi:type="dcterms:W3CDTF">2017-06-03T08:03:00Z</dcterms:modified>
</cp:coreProperties>
</file>