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34EF4" w:rsidRPr="001B6E66">
        <w:rPr>
          <w:rFonts w:eastAsia="Arial Unicode MS"/>
          <w:noProof/>
          <w:color w:val="000000"/>
          <w:sz w:val="22"/>
          <w:szCs w:val="22"/>
          <w:lang w:val="en-AU"/>
        </w:rPr>
        <w:t>334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34EF4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434EF4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434EF4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434EF4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434EF4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34EF4" w:rsidRPr="001B6E66">
        <w:rPr>
          <w:noProof/>
          <w:color w:val="000000"/>
          <w:sz w:val="20"/>
          <w:szCs w:val="20"/>
          <w:lang w:val="en-AU"/>
        </w:rPr>
        <w:t>Nurlelah 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434EF4" w:rsidRPr="001B6E66">
        <w:rPr>
          <w:noProof/>
          <w:color w:val="000000"/>
          <w:sz w:val="20"/>
          <w:szCs w:val="20"/>
          <w:lang w:val="en-AU"/>
        </w:rPr>
        <w:t>43213110128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34EF4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BB2760">
        <w:rPr>
          <w:color w:val="000000"/>
          <w:sz w:val="20"/>
          <w:szCs w:val="20"/>
          <w:lang w:val="en-AU"/>
        </w:rPr>
        <w:fldChar w:fldCharType="separate"/>
      </w:r>
      <w:r w:rsidR="00434EF4" w:rsidRPr="001B6E66">
        <w:rPr>
          <w:noProof/>
          <w:color w:val="000000"/>
          <w:sz w:val="20"/>
          <w:szCs w:val="20"/>
          <w:lang w:val="en-AU"/>
        </w:rPr>
        <w:t>08380870005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34EF4" w:rsidRPr="001B6E66">
        <w:rPr>
          <w:noProof/>
          <w:color w:val="000000"/>
          <w:sz w:val="20"/>
          <w:szCs w:val="20"/>
          <w:lang w:val="en-AU"/>
        </w:rPr>
        <w:t>Pengaruh Business Risk, Non Debt Tax Shield, Dividen Payout Ratio Dan Tangibility Aset Terhadap Penggunaan Hutang (Studi Empiris Pada Perusahaan Manufaktur Sektor Industri Barang Yang Go Public Tahun 2011-2013)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35B1-4707-49DD-A714-091CBB2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2017-06-10T03:10:00Z</cp:lastPrinted>
  <dcterms:created xsi:type="dcterms:W3CDTF">2017-06-10T03:12:00Z</dcterms:created>
  <dcterms:modified xsi:type="dcterms:W3CDTF">2017-06-10T03:12:00Z</dcterms:modified>
</cp:coreProperties>
</file>