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8081D" w:rsidRPr="001B6E66">
        <w:rPr>
          <w:rFonts w:eastAsia="Arial Unicode MS"/>
          <w:noProof/>
          <w:color w:val="000000"/>
          <w:sz w:val="22"/>
          <w:szCs w:val="22"/>
          <w:lang w:val="en-AU"/>
        </w:rPr>
        <w:t>306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81D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81D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81D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81D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81D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F8081D">
        <w:rPr>
          <w:b/>
          <w:color w:val="000000"/>
          <w:sz w:val="20"/>
          <w:szCs w:val="20"/>
          <w:lang w:val="en-US"/>
        </w:rPr>
        <w:fldChar w:fldCharType="separate"/>
      </w:r>
      <w:r w:rsidR="00F8081D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8081D" w:rsidRPr="001B6E66">
        <w:rPr>
          <w:noProof/>
          <w:color w:val="000000"/>
          <w:sz w:val="20"/>
          <w:szCs w:val="20"/>
          <w:lang w:val="en-AU"/>
        </w:rPr>
        <w:t>Nuri Rasika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F8081D" w:rsidRPr="001B6E66">
        <w:rPr>
          <w:noProof/>
          <w:color w:val="000000"/>
          <w:sz w:val="20"/>
          <w:szCs w:val="20"/>
          <w:lang w:val="en-AU"/>
        </w:rPr>
        <w:t>43210110097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8081D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F8081D" w:rsidRPr="001B6E66">
        <w:rPr>
          <w:noProof/>
          <w:color w:val="000000"/>
          <w:sz w:val="20"/>
          <w:szCs w:val="20"/>
          <w:lang w:val="en-AU"/>
        </w:rPr>
        <w:t>0838-75000765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8081D" w:rsidRPr="001B6E66">
        <w:rPr>
          <w:noProof/>
          <w:color w:val="000000"/>
          <w:sz w:val="20"/>
          <w:szCs w:val="20"/>
          <w:lang w:val="en-AU"/>
        </w:rPr>
        <w:t>Pengaruh Mekanisme Good Corporate Governance, Terhadap Intellec Tuan Capital Yang Dilakukan Oleh Perusahaan Lq-45Efek Indonesia Tahun 2013-2015)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C04E9"/>
    <w:rsid w:val="007C2D4F"/>
    <w:rsid w:val="007F1A64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A775-ADF3-4794-A5BF-027997F3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2017-06-10T02:47:00Z</dcterms:created>
  <dcterms:modified xsi:type="dcterms:W3CDTF">2017-06-10T02:47:00Z</dcterms:modified>
</cp:coreProperties>
</file>