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02BE1" w:rsidRPr="001B6E66">
        <w:rPr>
          <w:rFonts w:eastAsia="Arial Unicode MS"/>
          <w:noProof/>
          <w:color w:val="000000"/>
          <w:sz w:val="22"/>
          <w:szCs w:val="22"/>
          <w:lang w:val="en-AU"/>
        </w:rPr>
        <w:t>360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02BE1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02BE1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02BE1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02BE1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02BE1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02BE1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02BE1" w:rsidRPr="001B6E66">
        <w:rPr>
          <w:noProof/>
          <w:color w:val="000000"/>
          <w:sz w:val="20"/>
          <w:szCs w:val="20"/>
          <w:lang w:val="en-AU"/>
        </w:rPr>
        <w:t>Muhammad Teguh Pambudi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D02BE1" w:rsidRPr="001B6E66">
        <w:rPr>
          <w:noProof/>
          <w:color w:val="000000"/>
          <w:sz w:val="20"/>
          <w:szCs w:val="20"/>
          <w:lang w:val="en-AU"/>
        </w:rPr>
        <w:t>43213110433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02BE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D02BE1" w:rsidRPr="001B6E66">
        <w:rPr>
          <w:noProof/>
          <w:color w:val="000000"/>
          <w:sz w:val="20"/>
          <w:szCs w:val="20"/>
          <w:lang w:val="en-AU"/>
        </w:rPr>
        <w:t>"Analisis Tingkat Keefesian BPR Syariah Di Indonesia Menggunakan Metode Analisis Data Envelopment Dan Korelasi Camel"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AA5E-1C85-4998-B6F9-F7BF2C7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2017-06-10T03:25:00Z</cp:lastPrinted>
  <dcterms:created xsi:type="dcterms:W3CDTF">2017-06-10T03:25:00Z</dcterms:created>
  <dcterms:modified xsi:type="dcterms:W3CDTF">2017-06-10T03:25:00Z</dcterms:modified>
</cp:coreProperties>
</file>