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73D2F" w:rsidRPr="00032C8A">
        <w:rPr>
          <w:rFonts w:eastAsia="Arial Unicode MS"/>
          <w:noProof/>
          <w:color w:val="000000"/>
          <w:sz w:val="22"/>
          <w:szCs w:val="22"/>
          <w:lang w:val="en-AU"/>
        </w:rPr>
        <w:t>87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3D2F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173D2F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3D2F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3D2F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3D2F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173D2F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3D2F" w:rsidRPr="00032C8A">
        <w:rPr>
          <w:noProof/>
          <w:color w:val="000000"/>
          <w:sz w:val="20"/>
          <w:szCs w:val="20"/>
          <w:lang w:val="en-AU"/>
        </w:rPr>
        <w:t>Mufti Firman Setyawan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73D2F" w:rsidRPr="00032C8A">
        <w:rPr>
          <w:noProof/>
          <w:color w:val="000000"/>
          <w:sz w:val="20"/>
          <w:szCs w:val="20"/>
          <w:lang w:val="en-AU"/>
        </w:rPr>
        <w:t>43213110188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73D2F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173D2F" w:rsidRPr="00032C8A">
        <w:rPr>
          <w:noProof/>
          <w:color w:val="000000"/>
          <w:sz w:val="20"/>
          <w:szCs w:val="20"/>
          <w:lang w:val="en-AU"/>
        </w:rPr>
        <w:t>087889259549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3D2F" w:rsidRPr="00032C8A">
        <w:rPr>
          <w:noProof/>
          <w:color w:val="000000"/>
          <w:sz w:val="20"/>
          <w:szCs w:val="20"/>
          <w:lang w:val="en-AU"/>
        </w:rPr>
        <w:t>Analisa Faktor - Faktor yang Mempengaruhi Kepatuhan Wajib Pajak Orang Pribadi (Studi di Wilayah KPP Pratama Tanah Abang  Satu)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6CC2-4639-4FBB-A209-74532C10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2017-06-03T07:01:00Z</cp:lastPrinted>
  <dcterms:created xsi:type="dcterms:W3CDTF">2017-06-03T07:01:00Z</dcterms:created>
  <dcterms:modified xsi:type="dcterms:W3CDTF">2017-06-03T07:01:00Z</dcterms:modified>
</cp:coreProperties>
</file>