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7086" w:rsidRPr="00032C8A">
        <w:rPr>
          <w:rFonts w:eastAsia="Arial Unicode MS"/>
          <w:noProof/>
          <w:color w:val="000000"/>
          <w:sz w:val="22"/>
          <w:szCs w:val="22"/>
          <w:lang w:val="en-AU"/>
        </w:rPr>
        <w:t>228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7086" w:rsidRPr="00032C8A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7086" w:rsidRPr="00032C8A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7086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7086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7086" w:rsidRPr="00032C8A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05758">
        <w:rPr>
          <w:b/>
          <w:color w:val="000000"/>
          <w:sz w:val="20"/>
          <w:szCs w:val="20"/>
          <w:lang w:val="en-US"/>
        </w:rPr>
        <w:fldChar w:fldCharType="separate"/>
      </w:r>
      <w:r w:rsidR="00277086" w:rsidRPr="00032C8A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7086" w:rsidRPr="00032C8A">
        <w:rPr>
          <w:noProof/>
          <w:color w:val="000000"/>
          <w:sz w:val="20"/>
          <w:szCs w:val="20"/>
          <w:lang w:val="en-AU"/>
        </w:rPr>
        <w:t>Mia Rizki Amalia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77086" w:rsidRPr="00032C8A">
        <w:rPr>
          <w:noProof/>
          <w:color w:val="000000"/>
          <w:sz w:val="20"/>
          <w:szCs w:val="20"/>
          <w:lang w:val="en-AU"/>
        </w:rPr>
        <w:t>43213110321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7708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277086" w:rsidRPr="00032C8A">
        <w:rPr>
          <w:noProof/>
          <w:color w:val="000000"/>
          <w:sz w:val="20"/>
          <w:szCs w:val="20"/>
          <w:lang w:val="en-AU"/>
        </w:rPr>
        <w:t>0812-96642595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7086" w:rsidRPr="00032C8A">
        <w:rPr>
          <w:noProof/>
          <w:color w:val="000000"/>
          <w:sz w:val="20"/>
          <w:szCs w:val="20"/>
          <w:lang w:val="en-AU"/>
        </w:rPr>
        <w:t>Pengaruh Good Corporate Governance Dan Leverage Terhadap Kinerja Keuangan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C997-0FF3-484C-94F0-3773EA09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2017-06-03T08:45:00Z</cp:lastPrinted>
  <dcterms:created xsi:type="dcterms:W3CDTF">2017-06-03T08:46:00Z</dcterms:created>
  <dcterms:modified xsi:type="dcterms:W3CDTF">2017-06-03T08:46:00Z</dcterms:modified>
</cp:coreProperties>
</file>