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F1AB9" w:rsidRPr="001B6E66">
        <w:rPr>
          <w:rFonts w:eastAsia="Arial Unicode MS"/>
          <w:noProof/>
          <w:color w:val="000000"/>
          <w:sz w:val="22"/>
          <w:szCs w:val="22"/>
          <w:lang w:val="en-AU"/>
        </w:rPr>
        <w:t>344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F1AB9" w:rsidRPr="001B6E66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3F1AB9">
        <w:rPr>
          <w:b/>
          <w:color w:val="000000"/>
          <w:sz w:val="20"/>
          <w:szCs w:val="20"/>
          <w:lang w:val="en-US"/>
        </w:rPr>
        <w:fldChar w:fldCharType="separate"/>
      </w:r>
      <w:r w:rsidR="003F1AB9" w:rsidRPr="001B6E66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3F1AB9" w:rsidRPr="001B6E66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3F1AB9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3F1AB9" w:rsidRPr="001B6E66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378DF">
        <w:rPr>
          <w:b/>
          <w:color w:val="000000"/>
          <w:sz w:val="20"/>
          <w:szCs w:val="20"/>
          <w:lang w:val="en-US"/>
        </w:rPr>
        <w:fldChar w:fldCharType="separate"/>
      </w:r>
      <w:r w:rsidR="003F1AB9" w:rsidRPr="001B6E66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F1AB9" w:rsidRPr="001B6E66">
        <w:rPr>
          <w:noProof/>
          <w:color w:val="000000"/>
          <w:sz w:val="20"/>
          <w:szCs w:val="20"/>
          <w:lang w:val="en-AU"/>
        </w:rPr>
        <w:t>Kharisma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3F1AB9" w:rsidRPr="001B6E66">
        <w:rPr>
          <w:noProof/>
          <w:color w:val="000000"/>
          <w:sz w:val="20"/>
          <w:szCs w:val="20"/>
          <w:lang w:val="en-AU"/>
        </w:rPr>
        <w:t>43211110038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F1AB9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F1AB9" w:rsidRPr="001B6E66">
        <w:rPr>
          <w:noProof/>
          <w:color w:val="000000"/>
          <w:sz w:val="20"/>
          <w:szCs w:val="20"/>
          <w:lang w:val="en-AU"/>
        </w:rPr>
        <w:t>Hubungan Antara Perputaran Kas Dengan Likuiditas Pada Bank Umum Swasta di Jakarta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4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017B-2E19-40B7-B7EA-4C098014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2017-06-10T03:18:00Z</cp:lastPrinted>
  <dcterms:created xsi:type="dcterms:W3CDTF">2017-06-10T03:18:00Z</dcterms:created>
  <dcterms:modified xsi:type="dcterms:W3CDTF">2017-06-10T03:18:00Z</dcterms:modified>
</cp:coreProperties>
</file>