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85AC5" w:rsidRPr="001B6E66">
        <w:rPr>
          <w:rFonts w:eastAsia="Arial Unicode MS"/>
          <w:noProof/>
          <w:color w:val="000000"/>
          <w:sz w:val="22"/>
          <w:szCs w:val="22"/>
          <w:lang w:val="en-AU"/>
        </w:rPr>
        <w:t>350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85AC5" w:rsidRPr="001B6E66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85AC5" w:rsidRPr="001B6E66">
        <w:rPr>
          <w:noProof/>
          <w:color w:val="000000"/>
          <w:sz w:val="20"/>
          <w:szCs w:val="20"/>
          <w:lang w:val="en-AU"/>
        </w:rPr>
        <w:t>Irsyad Septiawan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585AC5" w:rsidRPr="001B6E66">
        <w:rPr>
          <w:noProof/>
          <w:color w:val="000000"/>
          <w:sz w:val="20"/>
          <w:szCs w:val="20"/>
          <w:lang w:val="en-AU"/>
        </w:rPr>
        <w:t>43214120235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85AC5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585AC5" w:rsidRPr="001B6E66">
        <w:rPr>
          <w:noProof/>
          <w:color w:val="000000"/>
          <w:sz w:val="20"/>
          <w:szCs w:val="20"/>
          <w:lang w:val="en-AU"/>
        </w:rPr>
        <w:t>Analisa Implementasi Good Corporate Governance Dan Corporate Social Responsibility Terhadap Pengaruh Profitabilitas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6062-DE72-4044-ADD9-BF2D02A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2017-06-10T03:20:00Z</cp:lastPrinted>
  <dcterms:created xsi:type="dcterms:W3CDTF">2017-06-10T03:20:00Z</dcterms:created>
  <dcterms:modified xsi:type="dcterms:W3CDTF">2017-06-10T03:20:00Z</dcterms:modified>
</cp:coreProperties>
</file>