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308F5" w:rsidRPr="00032C8A">
        <w:rPr>
          <w:rFonts w:eastAsia="Arial Unicode MS"/>
          <w:noProof/>
          <w:color w:val="000000"/>
          <w:sz w:val="22"/>
          <w:szCs w:val="22"/>
          <w:lang w:val="en-AU"/>
        </w:rPr>
        <w:t>241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308F5" w:rsidRPr="00032C8A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308F5" w:rsidRPr="00032C8A">
        <w:rPr>
          <w:b/>
          <w:noProof/>
          <w:color w:val="000000"/>
          <w:sz w:val="20"/>
          <w:szCs w:val="20"/>
          <w:lang w:val="en-US"/>
        </w:rPr>
        <w:t>0312095503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308F5" w:rsidRPr="00032C8A">
        <w:rPr>
          <w:b/>
          <w:noProof/>
          <w:color w:val="000000"/>
          <w:sz w:val="20"/>
          <w:szCs w:val="20"/>
          <w:lang w:val="en-US"/>
        </w:rPr>
        <w:t>611550414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308F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308F5" w:rsidRPr="00032C8A">
        <w:rPr>
          <w:b/>
          <w:noProof/>
          <w:color w:val="000000"/>
          <w:sz w:val="20"/>
          <w:szCs w:val="20"/>
          <w:lang w:val="en-US"/>
        </w:rPr>
        <w:t>082122253526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308F5" w:rsidRPr="00032C8A">
        <w:rPr>
          <w:noProof/>
          <w:color w:val="000000"/>
          <w:sz w:val="20"/>
          <w:szCs w:val="20"/>
          <w:lang w:val="en-AU"/>
        </w:rPr>
        <w:t>Hardianti Azis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308F5" w:rsidRPr="00032C8A">
        <w:rPr>
          <w:noProof/>
          <w:color w:val="000000"/>
          <w:sz w:val="20"/>
          <w:szCs w:val="20"/>
          <w:lang w:val="en-AU"/>
        </w:rPr>
        <w:t>43215110189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308F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8308F5" w:rsidRPr="00032C8A">
        <w:rPr>
          <w:noProof/>
          <w:color w:val="000000"/>
          <w:sz w:val="20"/>
          <w:szCs w:val="20"/>
          <w:lang w:val="en-AU"/>
        </w:rPr>
        <w:t>0812-38657560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308F5" w:rsidRPr="00032C8A">
        <w:rPr>
          <w:noProof/>
          <w:color w:val="000000"/>
          <w:sz w:val="20"/>
          <w:szCs w:val="20"/>
          <w:lang w:val="en-AU"/>
        </w:rPr>
        <w:t>Pengaruh Kepatuhan Wajib Pajak Dan Surat Ketetapan Pajak Terhadap Penerimaan Pph Orang Pribadi Di Kantor Pelayanan Pajak Pratama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21CD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2DE8-185E-411B-9B46-329CB76D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2017-06-03T08:53:00Z</cp:lastPrinted>
  <dcterms:created xsi:type="dcterms:W3CDTF">2017-06-03T08:57:00Z</dcterms:created>
  <dcterms:modified xsi:type="dcterms:W3CDTF">2017-06-03T08:57:00Z</dcterms:modified>
</cp:coreProperties>
</file>