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4266C" w:rsidRPr="001B6E66">
        <w:rPr>
          <w:rFonts w:eastAsia="Arial Unicode MS"/>
          <w:noProof/>
          <w:color w:val="000000"/>
          <w:sz w:val="22"/>
          <w:szCs w:val="22"/>
          <w:lang w:val="en-AU"/>
        </w:rPr>
        <w:t>317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4266C" w:rsidRPr="001B6E66">
        <w:rPr>
          <w:b/>
          <w:noProof/>
          <w:color w:val="000000"/>
          <w:sz w:val="20"/>
          <w:szCs w:val="20"/>
          <w:lang w:val="en-US"/>
        </w:rPr>
        <w:t>Sri Purwaningsih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4266C" w:rsidRPr="001B6E66">
        <w:rPr>
          <w:b/>
          <w:noProof/>
          <w:color w:val="000000"/>
          <w:sz w:val="20"/>
          <w:szCs w:val="20"/>
          <w:lang w:val="en-US"/>
        </w:rPr>
        <w:t>0320038003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4266C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4266C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4266C" w:rsidRPr="001B6E66">
        <w:rPr>
          <w:b/>
          <w:noProof/>
          <w:color w:val="000000"/>
          <w:sz w:val="20"/>
          <w:szCs w:val="20"/>
          <w:lang w:val="en-US"/>
        </w:rPr>
        <w:t>0215854630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4266C" w:rsidRPr="001B6E66">
        <w:rPr>
          <w:noProof/>
          <w:color w:val="000000"/>
          <w:sz w:val="20"/>
          <w:szCs w:val="20"/>
          <w:lang w:val="en-AU"/>
        </w:rPr>
        <w:t>Deiry Pamandani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64266C" w:rsidRPr="001B6E66">
        <w:rPr>
          <w:noProof/>
          <w:color w:val="000000"/>
          <w:sz w:val="20"/>
          <w:szCs w:val="20"/>
          <w:lang w:val="en-AU"/>
        </w:rPr>
        <w:t>43213110297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4266C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4266C">
        <w:rPr>
          <w:color w:val="000000"/>
          <w:sz w:val="20"/>
          <w:szCs w:val="20"/>
          <w:lang w:val="en-AU"/>
        </w:rPr>
        <w:fldChar w:fldCharType="separate"/>
      </w:r>
      <w:r w:rsidR="0064266C" w:rsidRPr="001B6E66">
        <w:rPr>
          <w:noProof/>
          <w:color w:val="000000"/>
          <w:sz w:val="20"/>
          <w:szCs w:val="20"/>
          <w:lang w:val="en-AU"/>
        </w:rPr>
        <w:t>0821-11852331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4266C" w:rsidRPr="001B6E66">
        <w:rPr>
          <w:noProof/>
          <w:color w:val="000000"/>
          <w:sz w:val="20"/>
          <w:szCs w:val="20"/>
          <w:lang w:val="en-AU"/>
        </w:rPr>
        <w:t>Analisis Tingkat Kesehatan Bank Dengan Menggunakan Metode Rgec (Risk Profile, Good Corporate Governance, Earning, Capital) (Studi Pada Pt Bank Mandiri Persero Tbk. Yang Terdaftar Di Bei Tahun 2010-2014)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B1691"/>
    <w:rsid w:val="001D5E1D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1E2C-C066-4852-994B-5C0FD9AC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2017-06-10T02:58:00Z</cp:lastPrinted>
  <dcterms:created xsi:type="dcterms:W3CDTF">2017-06-10T02:58:00Z</dcterms:created>
  <dcterms:modified xsi:type="dcterms:W3CDTF">2017-06-10T02:58:00Z</dcterms:modified>
</cp:coreProperties>
</file>