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C016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22913" w:rsidRPr="00E260D5">
        <w:rPr>
          <w:rFonts w:eastAsia="Arial Unicode MS"/>
          <w:noProof/>
          <w:color w:val="000000"/>
          <w:sz w:val="22"/>
          <w:szCs w:val="22"/>
          <w:lang w:val="en-AU"/>
        </w:rPr>
        <w:t>68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22913" w:rsidRPr="00E260D5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22913" w:rsidRPr="00E260D5">
        <w:rPr>
          <w:b/>
          <w:noProof/>
          <w:color w:val="000000"/>
          <w:sz w:val="20"/>
          <w:szCs w:val="20"/>
          <w:lang w:val="en-US"/>
        </w:rPr>
        <w:t>0318096701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22913" w:rsidRPr="00E260D5">
        <w:rPr>
          <w:b/>
          <w:noProof/>
          <w:color w:val="000000"/>
          <w:sz w:val="20"/>
          <w:szCs w:val="20"/>
          <w:lang w:val="en-US"/>
        </w:rPr>
        <w:t>112670353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22913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22913" w:rsidRPr="00E260D5">
        <w:rPr>
          <w:noProof/>
          <w:color w:val="000000"/>
          <w:sz w:val="20"/>
          <w:szCs w:val="20"/>
          <w:lang w:val="en-AU"/>
        </w:rPr>
        <w:t>Yulie Fitria Setianti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22913" w:rsidRPr="00E260D5">
        <w:rPr>
          <w:noProof/>
          <w:color w:val="000000"/>
          <w:sz w:val="20"/>
          <w:szCs w:val="20"/>
          <w:lang w:val="en-AU"/>
        </w:rPr>
        <w:t>43214120388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22913" w:rsidRPr="00E260D5">
        <w:rPr>
          <w:noProof/>
          <w:color w:val="000000"/>
          <w:sz w:val="20"/>
          <w:szCs w:val="20"/>
          <w:lang w:val="en-AU"/>
        </w:rPr>
        <w:t>Analisis Sistem Akuntansi Pelaporan Dana Kampanye Peserta Pemilu Tahun 2014 Ditinjau Dari Segi Azas Good Corporate Governance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119C7"/>
    <w:rsid w:val="004211EB"/>
    <w:rsid w:val="00421E15"/>
    <w:rsid w:val="004278D3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AAD4-4FBA-4800-A9A6-D2F356FC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2016-07-18T04:58:00Z</cp:lastPrinted>
  <dcterms:created xsi:type="dcterms:W3CDTF">2016-07-18T04:59:00Z</dcterms:created>
  <dcterms:modified xsi:type="dcterms:W3CDTF">2016-07-18T04:59:00Z</dcterms:modified>
</cp:coreProperties>
</file>