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3754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B239F" w:rsidRPr="00E260D5">
        <w:rPr>
          <w:rFonts w:eastAsia="Arial Unicode MS"/>
          <w:noProof/>
          <w:color w:val="000000"/>
          <w:sz w:val="22"/>
          <w:szCs w:val="22"/>
          <w:lang w:val="en-AU"/>
        </w:rPr>
        <w:t>38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B239F" w:rsidRPr="00E260D5">
        <w:rPr>
          <w:b/>
          <w:noProof/>
          <w:color w:val="000000"/>
          <w:sz w:val="20"/>
          <w:szCs w:val="20"/>
          <w:lang w:val="en-US"/>
        </w:rPr>
        <w:t>Deni Syachrudin,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B239F" w:rsidRPr="00E260D5">
        <w:rPr>
          <w:b/>
          <w:noProof/>
          <w:color w:val="000000"/>
          <w:sz w:val="20"/>
          <w:szCs w:val="20"/>
          <w:lang w:val="en-US"/>
        </w:rPr>
        <w:t>1975801090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B239F" w:rsidRPr="00E260D5">
        <w:rPr>
          <w:noProof/>
          <w:color w:val="000000"/>
          <w:sz w:val="20"/>
          <w:szCs w:val="20"/>
          <w:lang w:val="en-AU"/>
        </w:rPr>
        <w:t>Gita Rachma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4B239F" w:rsidRPr="00E260D5">
        <w:rPr>
          <w:noProof/>
          <w:color w:val="000000"/>
          <w:sz w:val="20"/>
          <w:szCs w:val="20"/>
          <w:lang w:val="en-AU"/>
        </w:rPr>
        <w:t>43214120102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B239F" w:rsidRPr="00E260D5">
        <w:rPr>
          <w:noProof/>
          <w:color w:val="000000"/>
          <w:sz w:val="20"/>
          <w:szCs w:val="20"/>
          <w:lang w:val="en-AU"/>
        </w:rPr>
        <w:t>Penerapan bagi hasil dalam perbankan syariah diindonesia dan faktor-faktor yang mempengaruhi besarnya simpanan mudharabah dalam jangka panjang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3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A6F0F"/>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927D-003E-491F-9D14-DCD99FBE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2016-07-18T04:42:00Z</cp:lastPrinted>
  <dcterms:created xsi:type="dcterms:W3CDTF">2016-07-18T04:43:00Z</dcterms:created>
  <dcterms:modified xsi:type="dcterms:W3CDTF">2016-07-18T04:43:00Z</dcterms:modified>
</cp:coreProperties>
</file>