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261C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93A69" w:rsidRPr="00E260D5">
        <w:rPr>
          <w:rFonts w:eastAsia="Arial Unicode MS"/>
          <w:noProof/>
          <w:color w:val="000000"/>
          <w:sz w:val="22"/>
          <w:szCs w:val="22"/>
          <w:lang w:val="en-AU"/>
        </w:rPr>
        <w:t>82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93A69" w:rsidRPr="00E260D5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93A69" w:rsidRPr="00E260D5">
        <w:rPr>
          <w:b/>
          <w:noProof/>
          <w:color w:val="000000"/>
          <w:sz w:val="20"/>
          <w:szCs w:val="20"/>
          <w:lang w:val="en-US"/>
        </w:rPr>
        <w:t>0315065402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93A69" w:rsidRPr="00E260D5">
        <w:rPr>
          <w:b/>
          <w:noProof/>
          <w:color w:val="000000"/>
          <w:sz w:val="20"/>
          <w:szCs w:val="20"/>
          <w:lang w:val="en-US"/>
        </w:rPr>
        <w:t>113570390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93A69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3A69" w:rsidRPr="00E260D5">
        <w:rPr>
          <w:noProof/>
          <w:color w:val="000000"/>
          <w:sz w:val="20"/>
          <w:szCs w:val="20"/>
          <w:lang w:val="en-AU"/>
        </w:rPr>
        <w:t>Desy Christiani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3A69" w:rsidRPr="00E260D5">
        <w:rPr>
          <w:noProof/>
          <w:color w:val="000000"/>
          <w:sz w:val="20"/>
          <w:szCs w:val="20"/>
          <w:lang w:val="en-AU"/>
        </w:rPr>
        <w:t>43214120206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3A69" w:rsidRPr="00E260D5">
        <w:rPr>
          <w:noProof/>
          <w:color w:val="000000"/>
          <w:sz w:val="20"/>
          <w:szCs w:val="20"/>
          <w:lang w:val="en-AU"/>
        </w:rPr>
        <w:t>Analisis Pengaruh Pengetahuan Tentang Pajak,Kualitas Pelayanan Fiskus dan Sanksi PerpajakanTerhadap Tingkat Kepatuhan Wajib Pajak Orang Pribadi dan Pengaruhnya Terhadap Kinerja Penerimaan Pajak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261CB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C8B-A644-4096-8869-13CE8837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2016-07-18T05:05:00Z</cp:lastPrinted>
  <dcterms:created xsi:type="dcterms:W3CDTF">2016-07-18T05:05:00Z</dcterms:created>
  <dcterms:modified xsi:type="dcterms:W3CDTF">2016-07-18T05:05:00Z</dcterms:modified>
</cp:coreProperties>
</file>