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5553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159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55533" w:rsidRPr="00E260D5">
        <w:rPr>
          <w:b/>
          <w:noProof/>
          <w:color w:val="000000"/>
          <w:sz w:val="20"/>
          <w:szCs w:val="20"/>
          <w:lang w:val="en-US"/>
        </w:rPr>
        <w:t>Heliantono,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955533" w:rsidRPr="00E260D5">
        <w:rPr>
          <w:b/>
          <w:noProof/>
          <w:color w:val="000000"/>
          <w:sz w:val="20"/>
          <w:szCs w:val="20"/>
          <w:lang w:val="en-US"/>
        </w:rPr>
        <w:t>0316036401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955533" w:rsidRPr="00E260D5">
        <w:rPr>
          <w:b/>
          <w:noProof/>
          <w:color w:val="000000"/>
          <w:sz w:val="20"/>
          <w:szCs w:val="20"/>
          <w:lang w:val="en-US"/>
        </w:rPr>
        <w:t>609640231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955533"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55533" w:rsidRPr="00E260D5">
        <w:rPr>
          <w:noProof/>
          <w:color w:val="000000"/>
          <w:sz w:val="20"/>
          <w:szCs w:val="20"/>
          <w:lang w:val="en-AU"/>
        </w:rPr>
        <w:t>Bony Prasetyo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955533" w:rsidRPr="00E260D5">
        <w:rPr>
          <w:noProof/>
          <w:color w:val="000000"/>
          <w:sz w:val="20"/>
          <w:szCs w:val="20"/>
          <w:lang w:val="en-AU"/>
        </w:rPr>
        <w:t>43215110509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55533" w:rsidRPr="00E260D5">
        <w:rPr>
          <w:noProof/>
          <w:color w:val="000000"/>
          <w:sz w:val="20"/>
          <w:szCs w:val="20"/>
          <w:lang w:val="en-AU"/>
        </w:rPr>
        <w:t>Analisis Hubungan Revaluasi Aset Tetap Dengan Return On Investment (ROI) Dan Return On Assets (ROA)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115A"/>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4441-33FB-4C62-8477-89C84673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2016-07-18T07:00:00Z</cp:lastPrinted>
  <dcterms:created xsi:type="dcterms:W3CDTF">2016-07-18T07:00:00Z</dcterms:created>
  <dcterms:modified xsi:type="dcterms:W3CDTF">2016-07-18T07:00:00Z</dcterms:modified>
</cp:coreProperties>
</file>