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5226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1D6B" w:rsidRPr="00E260D5">
        <w:rPr>
          <w:rFonts w:eastAsia="Arial Unicode MS"/>
          <w:noProof/>
          <w:color w:val="000000"/>
          <w:sz w:val="22"/>
          <w:szCs w:val="22"/>
          <w:lang w:val="en-AU"/>
        </w:rPr>
        <w:t>74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31D6B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31D6B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31D6B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31D6B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31D6B" w:rsidRPr="00E260D5">
        <w:rPr>
          <w:noProof/>
          <w:color w:val="000000"/>
          <w:sz w:val="20"/>
          <w:szCs w:val="20"/>
          <w:lang w:val="en-AU"/>
        </w:rPr>
        <w:t>Bella Amelinda Rafsandjani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31D6B" w:rsidRPr="00E260D5">
        <w:rPr>
          <w:noProof/>
          <w:color w:val="000000"/>
          <w:sz w:val="20"/>
          <w:szCs w:val="20"/>
          <w:lang w:val="en-AU"/>
        </w:rPr>
        <w:t>43215110356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31D6B" w:rsidRPr="00E260D5">
        <w:rPr>
          <w:noProof/>
          <w:color w:val="000000"/>
          <w:sz w:val="20"/>
          <w:szCs w:val="20"/>
          <w:lang w:val="en-AU"/>
        </w:rPr>
        <w:t>Pengaruh Good Corporate Governance Dan Merger/Akuisisi Terhadap Kinerja Perusahaan Publik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3CF1-F33E-40CF-AF15-F20D18B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2016-07-18T05:01:00Z</cp:lastPrinted>
  <dcterms:created xsi:type="dcterms:W3CDTF">2016-07-18T05:01:00Z</dcterms:created>
  <dcterms:modified xsi:type="dcterms:W3CDTF">2016-07-18T05:01:00Z</dcterms:modified>
</cp:coreProperties>
</file>