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5177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23CB0" w:rsidRPr="00E260D5">
        <w:rPr>
          <w:rFonts w:eastAsia="Arial Unicode MS"/>
          <w:noProof/>
          <w:color w:val="000000"/>
          <w:sz w:val="22"/>
          <w:szCs w:val="22"/>
          <w:lang w:val="en-AU"/>
        </w:rPr>
        <w:t>125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23CB0" w:rsidRPr="00E260D5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23CB0" w:rsidRPr="00E260D5">
        <w:rPr>
          <w:b/>
          <w:noProof/>
          <w:color w:val="000000"/>
          <w:sz w:val="20"/>
          <w:szCs w:val="20"/>
          <w:lang w:val="en-US"/>
        </w:rPr>
        <w:t>0329016601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23CB0" w:rsidRPr="00E260D5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23CB0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23CB0" w:rsidRPr="00E260D5">
        <w:rPr>
          <w:noProof/>
          <w:color w:val="000000"/>
          <w:sz w:val="20"/>
          <w:szCs w:val="20"/>
          <w:lang w:val="en-AU"/>
        </w:rPr>
        <w:t>Astri Nugraheni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D23CB0" w:rsidRPr="00E260D5">
        <w:rPr>
          <w:noProof/>
          <w:color w:val="000000"/>
          <w:sz w:val="20"/>
          <w:szCs w:val="20"/>
          <w:lang w:val="en-AU"/>
        </w:rPr>
        <w:t>43215110357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23CB0" w:rsidRPr="00E260D5">
        <w:rPr>
          <w:noProof/>
          <w:color w:val="000000"/>
          <w:sz w:val="20"/>
          <w:szCs w:val="20"/>
          <w:lang w:val="en-AU"/>
        </w:rPr>
        <w:t>Pengaruh Konservatisme Akuntansi Dan Good Corporate Governance ( Gcg ) Terhadap Earnings  Response Coefficient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3B5"/>
    <w:rsid w:val="00091E2F"/>
    <w:rsid w:val="00093B06"/>
    <w:rsid w:val="000940DF"/>
    <w:rsid w:val="00094306"/>
    <w:rsid w:val="0009539E"/>
    <w:rsid w:val="000B0E62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9970-D02C-4AED-872D-E06C70A4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2016-07-18T06:38:00Z</cp:lastPrinted>
  <dcterms:created xsi:type="dcterms:W3CDTF">2016-07-18T06:39:00Z</dcterms:created>
  <dcterms:modified xsi:type="dcterms:W3CDTF">2016-07-18T06:39:00Z</dcterms:modified>
</cp:coreProperties>
</file>